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5620"/>
        <w:rPr>
          <w:rFonts w:ascii="Times New Roman"/>
          <w:sz w:val="20"/>
        </w:rPr>
      </w:pPr>
      <w:r>
        <w:rPr>
          <w:rFonts w:ascii="Times New Roman"/>
          <w:sz w:val="20"/>
        </w:rPr>
        <w:drawing>
          <wp:inline distT="0" distB="0" distL="0" distR="0">
            <wp:extent cx="2763440" cy="884301"/>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763440" cy="884301"/>
                    </a:xfrm>
                    <a:prstGeom prst="rect">
                      <a:avLst/>
                    </a:prstGeom>
                  </pic:spPr>
                </pic:pic>
              </a:graphicData>
            </a:graphic>
          </wp:inline>
        </w:drawing>
      </w:r>
      <w:r>
        <w:rPr>
          <w:rFonts w:ascii="Times New Roman"/>
          <w:sz w:val="20"/>
        </w:rPr>
      </w:r>
    </w:p>
    <w:p>
      <w:pPr>
        <w:pStyle w:val="BodyText"/>
        <w:spacing w:before="2"/>
        <w:rPr>
          <w:rFonts w:ascii="Times New Roman"/>
          <w:sz w:val="20"/>
        </w:rPr>
      </w:pPr>
      <w:r>
        <w:rPr/>
        <w:pict>
          <v:line style="position:absolute;mso-position-horizontal-relative:page;mso-position-vertical-relative:paragraph;z-index:-1024;mso-wrap-distance-left:0;mso-wrap-distance-right:0" from="70.584pt,16.57pt" to="541.564pt,16.57pt" stroked="true" strokeweight="6pt" strokecolor="#007eb3">
            <v:stroke dashstyle="solid"/>
            <w10:wrap type="topAndBottom"/>
          </v:lin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9"/>
        </w:rPr>
      </w:pPr>
      <w:r>
        <w:rPr/>
        <w:pict>
          <v:group style="position:absolute;margin-left:74.089272pt;margin-top:19.45335pt;width:454.6pt;height:374.4pt;mso-position-horizontal-relative:page;mso-position-vertical-relative:paragraph;z-index:-976;mso-wrap-distance-left:0;mso-wrap-distance-right:0" coordorigin="1482,389" coordsize="9092,7488">
            <v:shape style="position:absolute;left:1481;top:389;width:9051;height:7488" type="#_x0000_t75" stroked="false">
              <v:imagedata r:id="rId6" o:title=""/>
            </v:shape>
            <v:shape style="position:absolute;left:8286;top:5349;width:1448;height:1897" type="#_x0000_t75" stroked="false">
              <v:imagedata r:id="rId7" o:title=""/>
            </v:shape>
            <v:shapetype id="_x0000_t202" o:spt="202" coordsize="21600,21600" path="m,l,21600r21600,l21600,xe">
              <v:stroke joinstyle="miter"/>
              <v:path gradientshapeok="t" o:connecttype="rect"/>
            </v:shapetype>
            <v:shape style="position:absolute;left:1481;top:389;width:9092;height:7488" type="#_x0000_t202" filled="false" stroked="false">
              <v:textbox inset="0,0,0,0">
                <w:txbxContent>
                  <w:p>
                    <w:pPr>
                      <w:spacing w:before="576"/>
                      <w:ind w:left="0" w:right="135" w:firstLine="0"/>
                      <w:jc w:val="right"/>
                      <w:rPr>
                        <w:rFonts w:ascii="Times New Roman"/>
                        <w:sz w:val="61"/>
                      </w:rPr>
                    </w:pPr>
                    <w:r>
                      <w:rPr>
                        <w:rFonts w:ascii="Times New Roman"/>
                        <w:spacing w:val="-1"/>
                        <w:sz w:val="61"/>
                      </w:rPr>
                      <w:t>Configuration</w:t>
                    </w:r>
                  </w:p>
                  <w:p>
                    <w:pPr>
                      <w:spacing w:before="37"/>
                      <w:ind w:left="0" w:right="137" w:firstLine="0"/>
                      <w:jc w:val="right"/>
                      <w:rPr>
                        <w:rFonts w:ascii="Times New Roman"/>
                        <w:sz w:val="61"/>
                      </w:rPr>
                    </w:pPr>
                    <w:r>
                      <w:rPr>
                        <w:rFonts w:ascii="Times New Roman"/>
                        <w:sz w:val="61"/>
                      </w:rPr>
                      <w:t>Standard</w:t>
                    </w:r>
                  </w:p>
                  <w:p>
                    <w:pPr>
                      <w:spacing w:before="36"/>
                      <w:ind w:left="5139" w:right="0" w:firstLine="0"/>
                      <w:jc w:val="left"/>
                      <w:rPr>
                        <w:rFonts w:ascii="Times New Roman"/>
                        <w:sz w:val="61"/>
                      </w:rPr>
                    </w:pPr>
                    <w:r>
                      <w:rPr>
                        <w:rFonts w:ascii="Times New Roman"/>
                        <w:spacing w:val="-6"/>
                        <w:sz w:val="61"/>
                      </w:rPr>
                      <w:t>Technical </w:t>
                    </w:r>
                    <w:r>
                      <w:rPr>
                        <w:rFonts w:ascii="Times New Roman"/>
                        <w:sz w:val="61"/>
                      </w:rPr>
                      <w:t>Order</w:t>
                    </w:r>
                  </w:p>
                </w:txbxContent>
              </v:textbox>
              <w10:wrap type="none"/>
            </v:shape>
            <w10:wrap type="topAndBottom"/>
          </v:group>
        </w:pict>
      </w:r>
    </w:p>
    <w:p>
      <w:pPr>
        <w:spacing w:before="20"/>
        <w:ind w:left="1514" w:right="0" w:firstLine="0"/>
        <w:jc w:val="left"/>
        <w:rPr>
          <w:rFonts w:ascii="Times New Roman"/>
          <w:sz w:val="20"/>
        </w:rPr>
      </w:pPr>
      <w:r>
        <w:rPr>
          <w:rFonts w:ascii="Times New Roman"/>
          <w:sz w:val="20"/>
        </w:rPr>
        <w:t>Mission Support Business Model</w:t>
      </w:r>
    </w:p>
    <w:p>
      <w:pPr>
        <w:pStyle w:val="BodyText"/>
        <w:rPr>
          <w:rFonts w:ascii="Times New Roman"/>
        </w:rPr>
      </w:pPr>
    </w:p>
    <w:p>
      <w:pPr>
        <w:pStyle w:val="BodyText"/>
        <w:spacing w:before="6"/>
        <w:rPr>
          <w:rFonts w:ascii="Times New Roman"/>
          <w:sz w:val="20"/>
        </w:rPr>
      </w:pPr>
    </w:p>
    <w:p>
      <w:pPr>
        <w:spacing w:before="0"/>
        <w:ind w:left="580" w:right="0" w:firstLine="0"/>
        <w:jc w:val="left"/>
        <w:rPr>
          <w:rFonts w:ascii="Times New Roman"/>
          <w:sz w:val="56"/>
        </w:rPr>
      </w:pPr>
      <w:r>
        <w:rPr>
          <w:rFonts w:ascii="Times New Roman"/>
          <w:sz w:val="56"/>
        </w:rPr>
        <w:t>Advanced Metering Infrastructure</w:t>
      </w:r>
    </w:p>
    <w:p>
      <w:pPr>
        <w:spacing w:before="305"/>
        <w:ind w:left="580" w:right="0" w:firstLine="0"/>
        <w:jc w:val="left"/>
        <w:rPr>
          <w:sz w:val="28"/>
        </w:rPr>
      </w:pPr>
      <w:r>
        <w:rPr>
          <w:spacing w:val="13"/>
          <w:sz w:val="28"/>
        </w:rPr>
        <w:t>SILC-CSTO-36-11 </w:t>
      </w:r>
      <w:r>
        <w:rPr>
          <w:spacing w:val="7"/>
          <w:sz w:val="28"/>
        </w:rPr>
        <w:t>31 17</w:t>
      </w:r>
      <w:r>
        <w:rPr>
          <w:spacing w:val="67"/>
          <w:sz w:val="28"/>
        </w:rPr>
        <w:t> </w:t>
      </w:r>
      <w:r>
        <w:rPr>
          <w:spacing w:val="14"/>
          <w:sz w:val="28"/>
        </w:rPr>
        <w:t>11-01</w:t>
      </w:r>
    </w:p>
    <w:p>
      <w:pPr>
        <w:spacing w:after="0"/>
        <w:jc w:val="left"/>
        <w:rPr>
          <w:sz w:val="28"/>
        </w:rPr>
        <w:sectPr>
          <w:type w:val="continuous"/>
          <w:pgSz w:w="12240" w:h="15840"/>
          <w:pgMar w:top="1000" w:bottom="280" w:left="860" w:right="680"/>
        </w:sectPr>
      </w:pPr>
    </w:p>
    <w:p>
      <w:pPr>
        <w:spacing w:line="207" w:lineRule="exact" w:before="67"/>
        <w:ind w:left="4109" w:right="0" w:firstLine="0"/>
        <w:jc w:val="left"/>
        <w:rPr>
          <w:sz w:val="18"/>
        </w:rPr>
      </w:pPr>
      <w:r>
        <w:rPr/>
        <w:drawing>
          <wp:anchor distT="0" distB="0" distL="0" distR="0" allowOverlap="1" layoutInCell="1" locked="0" behindDoc="0" simplePos="0" relativeHeight="1096">
            <wp:simplePos x="0" y="0"/>
            <wp:positionH relativeFrom="page">
              <wp:posOffset>1002563</wp:posOffset>
            </wp:positionH>
            <wp:positionV relativeFrom="paragraph">
              <wp:posOffset>46131</wp:posOffset>
            </wp:positionV>
            <wp:extent cx="1801325" cy="575282"/>
            <wp:effectExtent l="0" t="0" r="0" b="0"/>
            <wp:wrapNone/>
            <wp:docPr id="3" name="image4.png" descr=""/>
            <wp:cNvGraphicFramePr>
              <a:graphicFrameLocks noChangeAspect="1"/>
            </wp:cNvGraphicFramePr>
            <a:graphic>
              <a:graphicData uri="http://schemas.openxmlformats.org/drawingml/2006/picture">
                <pic:pic>
                  <pic:nvPicPr>
                    <pic:cNvPr id="4" name="image4.png"/>
                    <pic:cNvPicPr/>
                  </pic:nvPicPr>
                  <pic:blipFill>
                    <a:blip r:embed="rId8" cstate="print"/>
                    <a:stretch>
                      <a:fillRect/>
                    </a:stretch>
                  </pic:blipFill>
                  <pic:spPr>
                    <a:xfrm>
                      <a:off x="0" y="0"/>
                      <a:ext cx="1801325" cy="575282"/>
                    </a:xfrm>
                    <a:prstGeom prst="rect">
                      <a:avLst/>
                    </a:prstGeom>
                  </pic:spPr>
                </pic:pic>
              </a:graphicData>
            </a:graphic>
          </wp:anchor>
        </w:drawing>
      </w:r>
      <w:r>
        <w:rPr>
          <w:sz w:val="18"/>
        </w:rPr>
        <w:t>Commander</w:t>
      </w:r>
    </w:p>
    <w:p>
      <w:pPr>
        <w:spacing w:line="206" w:lineRule="exact" w:before="0"/>
        <w:ind w:left="4109" w:right="0" w:firstLine="0"/>
        <w:jc w:val="left"/>
        <w:rPr>
          <w:sz w:val="18"/>
        </w:rPr>
      </w:pPr>
      <w:r>
        <w:rPr>
          <w:sz w:val="18"/>
        </w:rPr>
        <w:t>U.S. Coast Guard</w:t>
      </w:r>
    </w:p>
    <w:p>
      <w:pPr>
        <w:spacing w:line="207" w:lineRule="exact" w:before="0"/>
        <w:ind w:left="4109" w:right="0" w:firstLine="0"/>
        <w:jc w:val="left"/>
        <w:rPr>
          <w:sz w:val="18"/>
        </w:rPr>
      </w:pPr>
      <w:r>
        <w:rPr>
          <w:sz w:val="18"/>
        </w:rPr>
        <w:t>Shore Infrastructure Logistics</w:t>
      </w:r>
      <w:r>
        <w:rPr>
          <w:spacing w:val="-14"/>
          <w:sz w:val="18"/>
        </w:rPr>
        <w:t> </w:t>
      </w:r>
      <w:r>
        <w:rPr>
          <w:sz w:val="18"/>
        </w:rPr>
        <w:t>Center</w:t>
      </w:r>
    </w:p>
    <w:p>
      <w:pPr>
        <w:spacing w:line="207" w:lineRule="exact" w:before="67"/>
        <w:ind w:left="379" w:right="0" w:firstLine="0"/>
        <w:jc w:val="left"/>
        <w:rPr>
          <w:sz w:val="18"/>
        </w:rPr>
      </w:pPr>
      <w:r>
        <w:rPr/>
        <w:br w:type="column"/>
      </w:r>
      <w:r>
        <w:rPr>
          <w:sz w:val="18"/>
        </w:rPr>
        <w:t>300 East Main Street, Suite 800</w:t>
      </w:r>
    </w:p>
    <w:p>
      <w:pPr>
        <w:spacing w:line="240" w:lineRule="auto" w:before="0"/>
        <w:ind w:left="379" w:right="1300" w:firstLine="0"/>
        <w:jc w:val="left"/>
        <w:rPr>
          <w:sz w:val="18"/>
        </w:rPr>
      </w:pPr>
      <w:r>
        <w:rPr>
          <w:sz w:val="18"/>
        </w:rPr>
        <w:t>Norfolk, VA 23510-9104 Staff Symbol: (esd) Phone: (757) 628-4277</w:t>
      </w:r>
    </w:p>
    <w:p>
      <w:pPr>
        <w:spacing w:after="0" w:line="240" w:lineRule="auto"/>
        <w:jc w:val="left"/>
        <w:rPr>
          <w:sz w:val="18"/>
        </w:rPr>
        <w:sectPr>
          <w:pgSz w:w="12240" w:h="15840"/>
          <w:pgMar w:top="940" w:bottom="280" w:left="860" w:right="680"/>
          <w:cols w:num="2" w:equalWidth="0">
            <w:col w:w="7039" w:space="40"/>
            <w:col w:w="3621"/>
          </w:cols>
        </w:sectPr>
      </w:pPr>
    </w:p>
    <w:p>
      <w:pPr>
        <w:pStyle w:val="BodyText"/>
        <w:rPr>
          <w:sz w:val="20"/>
        </w:rPr>
      </w:pPr>
    </w:p>
    <w:p>
      <w:pPr>
        <w:pStyle w:val="BodyText"/>
        <w:spacing w:before="3" w:after="1"/>
        <w:rPr>
          <w:sz w:val="24"/>
        </w:rPr>
      </w:pPr>
    </w:p>
    <w:tbl>
      <w:tblPr>
        <w:tblW w:w="0" w:type="auto"/>
        <w:jc w:val="left"/>
        <w:tblInd w:w="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03"/>
        <w:gridCol w:w="8394"/>
      </w:tblGrid>
      <w:tr>
        <w:trPr>
          <w:trHeight w:val="836" w:hRule="atLeast"/>
        </w:trPr>
        <w:tc>
          <w:tcPr>
            <w:tcW w:w="1103" w:type="dxa"/>
          </w:tcPr>
          <w:p>
            <w:pPr>
              <w:pStyle w:val="TableParagraph"/>
              <w:spacing w:before="0"/>
              <w:ind w:left="0"/>
              <w:rPr>
                <w:rFonts w:ascii="Times New Roman"/>
                <w:sz w:val="20"/>
              </w:rPr>
            </w:pPr>
          </w:p>
        </w:tc>
        <w:tc>
          <w:tcPr>
            <w:tcW w:w="8394" w:type="dxa"/>
          </w:tcPr>
          <w:p>
            <w:pPr>
              <w:pStyle w:val="TableParagraph"/>
              <w:spacing w:line="247" w:lineRule="exact" w:before="0"/>
              <w:ind w:left="0" w:right="2196"/>
              <w:jc w:val="right"/>
              <w:rPr>
                <w:sz w:val="22"/>
              </w:rPr>
            </w:pPr>
            <w:r>
              <w:rPr>
                <w:sz w:val="22"/>
              </w:rPr>
              <w:t>4100</w:t>
            </w:r>
          </w:p>
          <w:p>
            <w:pPr>
              <w:pStyle w:val="TableParagraph"/>
              <w:spacing w:before="1"/>
              <w:ind w:left="0" w:right="1454"/>
              <w:jc w:val="right"/>
              <w:rPr>
                <w:sz w:val="22"/>
              </w:rPr>
            </w:pPr>
            <w:r>
              <w:rPr>
                <w:sz w:val="22"/>
              </w:rPr>
              <w:t>03 JUL 2018</w:t>
            </w:r>
          </w:p>
        </w:tc>
      </w:tr>
      <w:tr>
        <w:trPr>
          <w:trHeight w:val="644" w:hRule="atLeast"/>
        </w:trPr>
        <w:tc>
          <w:tcPr>
            <w:tcW w:w="1103" w:type="dxa"/>
          </w:tcPr>
          <w:p>
            <w:pPr>
              <w:pStyle w:val="TableParagraph"/>
              <w:spacing w:before="6"/>
              <w:ind w:left="0"/>
              <w:rPr>
                <w:sz w:val="28"/>
              </w:rPr>
            </w:pPr>
          </w:p>
          <w:p>
            <w:pPr>
              <w:pStyle w:val="TableParagraph"/>
              <w:spacing w:before="0"/>
              <w:ind w:left="200"/>
              <w:rPr>
                <w:sz w:val="22"/>
              </w:rPr>
            </w:pPr>
            <w:r>
              <w:rPr>
                <w:sz w:val="22"/>
              </w:rPr>
              <w:t>Subject:</w:t>
            </w:r>
          </w:p>
        </w:tc>
        <w:tc>
          <w:tcPr>
            <w:tcW w:w="8394" w:type="dxa"/>
          </w:tcPr>
          <w:p>
            <w:pPr>
              <w:pStyle w:val="TableParagraph"/>
              <w:spacing w:before="6"/>
              <w:ind w:left="0"/>
              <w:rPr>
                <w:sz w:val="28"/>
              </w:rPr>
            </w:pPr>
          </w:p>
          <w:p>
            <w:pPr>
              <w:pStyle w:val="TableParagraph"/>
              <w:spacing w:before="0"/>
              <w:ind w:left="121"/>
              <w:rPr>
                <w:sz w:val="22"/>
              </w:rPr>
            </w:pPr>
            <w:r>
              <w:rPr>
                <w:sz w:val="22"/>
              </w:rPr>
              <w:t>ADVANCED METERING INFRASTRUCTURE CSTO</w:t>
            </w:r>
          </w:p>
        </w:tc>
      </w:tr>
      <w:tr>
        <w:trPr>
          <w:trHeight w:val="815" w:hRule="atLeast"/>
        </w:trPr>
        <w:tc>
          <w:tcPr>
            <w:tcW w:w="1103" w:type="dxa"/>
          </w:tcPr>
          <w:p>
            <w:pPr>
              <w:pStyle w:val="TableParagraph"/>
              <w:spacing w:before="56"/>
              <w:ind w:left="200"/>
              <w:rPr>
                <w:sz w:val="22"/>
              </w:rPr>
            </w:pPr>
            <w:r>
              <w:rPr>
                <w:sz w:val="22"/>
              </w:rPr>
              <w:t>Ref:</w:t>
            </w:r>
          </w:p>
        </w:tc>
        <w:tc>
          <w:tcPr>
            <w:tcW w:w="8394" w:type="dxa"/>
          </w:tcPr>
          <w:p>
            <w:pPr>
              <w:pStyle w:val="TableParagraph"/>
              <w:numPr>
                <w:ilvl w:val="0"/>
                <w:numId w:val="1"/>
              </w:numPr>
              <w:tabs>
                <w:tab w:pos="468" w:val="left" w:leader="none"/>
              </w:tabs>
              <w:spacing w:line="240" w:lineRule="auto" w:before="56" w:after="0"/>
              <w:ind w:left="467" w:right="0" w:hanging="360"/>
              <w:jc w:val="left"/>
              <w:rPr>
                <w:sz w:val="22"/>
              </w:rPr>
            </w:pPr>
            <w:r>
              <w:rPr>
                <w:sz w:val="22"/>
              </w:rPr>
              <w:t>Civil Engineering Manual, COMDTINST M11000.11</w:t>
            </w:r>
            <w:r>
              <w:rPr>
                <w:spacing w:val="2"/>
                <w:sz w:val="22"/>
              </w:rPr>
              <w:t> </w:t>
            </w:r>
            <w:r>
              <w:rPr>
                <w:sz w:val="22"/>
              </w:rPr>
              <w:t>(series)</w:t>
            </w:r>
          </w:p>
          <w:p>
            <w:pPr>
              <w:pStyle w:val="TableParagraph"/>
              <w:numPr>
                <w:ilvl w:val="0"/>
                <w:numId w:val="1"/>
              </w:numPr>
              <w:tabs>
                <w:tab w:pos="468" w:val="left" w:leader="none"/>
              </w:tabs>
              <w:spacing w:line="252" w:lineRule="exact" w:before="6" w:after="0"/>
              <w:ind w:left="467" w:right="198" w:hanging="360"/>
              <w:jc w:val="left"/>
              <w:rPr>
                <w:sz w:val="22"/>
              </w:rPr>
            </w:pPr>
            <w:r>
              <w:rPr>
                <w:sz w:val="22"/>
              </w:rPr>
              <w:t>Shore Infrastructure – Mission Support Business Model Requirements</w:t>
            </w:r>
            <w:r>
              <w:rPr>
                <w:spacing w:val="-23"/>
                <w:sz w:val="22"/>
              </w:rPr>
              <w:t> </w:t>
            </w:r>
            <w:r>
              <w:rPr>
                <w:sz w:val="22"/>
              </w:rPr>
              <w:t>Directive Technical Order, SILC-RDTO-36-11 29 11 00-01</w:t>
            </w:r>
            <w:r>
              <w:rPr>
                <w:spacing w:val="-11"/>
                <w:sz w:val="22"/>
              </w:rPr>
              <w:t> </w:t>
            </w:r>
            <w:r>
              <w:rPr>
                <w:sz w:val="22"/>
              </w:rPr>
              <w:t>(latest)</w:t>
            </w:r>
          </w:p>
        </w:tc>
      </w:tr>
    </w:tbl>
    <w:p>
      <w:pPr>
        <w:pStyle w:val="BodyText"/>
        <w:spacing w:before="8"/>
        <w:rPr>
          <w:sz w:val="27"/>
        </w:rPr>
      </w:pPr>
    </w:p>
    <w:p>
      <w:pPr>
        <w:pStyle w:val="ListParagraph"/>
        <w:numPr>
          <w:ilvl w:val="0"/>
          <w:numId w:val="2"/>
        </w:numPr>
        <w:tabs>
          <w:tab w:pos="1301" w:val="left" w:leader="none"/>
        </w:tabs>
        <w:spacing w:line="240" w:lineRule="auto" w:before="93" w:after="0"/>
        <w:ind w:left="1300" w:right="958" w:hanging="360"/>
        <w:jc w:val="left"/>
        <w:rPr>
          <w:sz w:val="22"/>
        </w:rPr>
      </w:pPr>
      <w:r>
        <w:rPr>
          <w:sz w:val="22"/>
          <w:u w:val="single"/>
        </w:rPr>
        <w:t>PURPOSE</w:t>
      </w:r>
      <w:r>
        <w:rPr>
          <w:sz w:val="22"/>
        </w:rPr>
        <w:t>. This Configuration Standard Technical Order (CSTO) provides the framework to standardize advanced metering requirements for electricity, natural gas, propane, potable water, and non-potable water as applicable (i.e. irrigation). The configuration established herein enables Coast Guard facilities to comply with federally mandated benchmarking and reporting requirements to optimize and reduce energy consumption, and will be used to establish metering requirements across the Coast Guard’s shore</w:t>
      </w:r>
      <w:r>
        <w:rPr>
          <w:spacing w:val="-5"/>
          <w:sz w:val="22"/>
        </w:rPr>
        <w:t> </w:t>
      </w:r>
      <w:r>
        <w:rPr>
          <w:sz w:val="22"/>
        </w:rPr>
        <w:t>infrastructure.</w:t>
      </w:r>
    </w:p>
    <w:p>
      <w:pPr>
        <w:pStyle w:val="BodyText"/>
        <w:spacing w:before="11"/>
        <w:rPr>
          <w:sz w:val="20"/>
        </w:rPr>
      </w:pPr>
    </w:p>
    <w:p>
      <w:pPr>
        <w:pStyle w:val="ListParagraph"/>
        <w:numPr>
          <w:ilvl w:val="0"/>
          <w:numId w:val="2"/>
        </w:numPr>
        <w:tabs>
          <w:tab w:pos="1301" w:val="left" w:leader="none"/>
        </w:tabs>
        <w:spacing w:line="240" w:lineRule="auto" w:before="0" w:after="0"/>
        <w:ind w:left="1300" w:right="943" w:hanging="360"/>
        <w:jc w:val="left"/>
        <w:rPr>
          <w:sz w:val="22"/>
        </w:rPr>
      </w:pPr>
      <w:r>
        <w:rPr>
          <w:sz w:val="22"/>
          <w:u w:val="single"/>
        </w:rPr>
        <w:t>ACTION</w:t>
      </w:r>
      <w:r>
        <w:rPr>
          <w:sz w:val="22"/>
        </w:rPr>
        <w:t>. This technical order shall be used by all design engineers (Civil Engineering Units, Facilities Design &amp; Construction Center, and unit level Facility Engineering Departments) to plan, design, and install advanced metering for utilities infrastructure servicing “appropriate” covered buildings and tactical end points. Energy Managers, Water Resource Managers, Facility Engineers, Facility Asset Managers, Sector Engineering Officers, Engineering Petty Officers, and other facility managers and technical staff shall use this technical order for operation, maintenance, and to ensure that any changes made to advanced metering are in accordance with this configuration standard.</w:t>
      </w:r>
    </w:p>
    <w:p>
      <w:pPr>
        <w:pStyle w:val="BodyText"/>
        <w:spacing w:before="8"/>
        <w:rPr>
          <w:sz w:val="20"/>
        </w:rPr>
      </w:pPr>
    </w:p>
    <w:p>
      <w:pPr>
        <w:pStyle w:val="ListParagraph"/>
        <w:numPr>
          <w:ilvl w:val="0"/>
          <w:numId w:val="2"/>
        </w:numPr>
        <w:tabs>
          <w:tab w:pos="1301" w:val="left" w:leader="none"/>
        </w:tabs>
        <w:spacing w:line="240" w:lineRule="auto" w:before="1" w:after="0"/>
        <w:ind w:left="1300" w:right="1252" w:hanging="360"/>
        <w:jc w:val="left"/>
        <w:rPr>
          <w:sz w:val="22"/>
        </w:rPr>
      </w:pPr>
      <w:r>
        <w:rPr>
          <w:sz w:val="22"/>
          <w:u w:val="single"/>
        </w:rPr>
        <w:t>AUTHORIZATION</w:t>
      </w:r>
      <w:r>
        <w:rPr>
          <w:sz w:val="22"/>
        </w:rPr>
        <w:t>. This technical order has been reviewed and is authorized by the SILC Configuration Control</w:t>
      </w:r>
      <w:r>
        <w:rPr>
          <w:spacing w:val="-2"/>
          <w:sz w:val="22"/>
        </w:rPr>
        <w:t> </w:t>
      </w:r>
      <w:r>
        <w:rPr>
          <w:sz w:val="22"/>
        </w:rPr>
        <w:t>Board.</w:t>
      </w:r>
    </w:p>
    <w:p>
      <w:pPr>
        <w:pStyle w:val="BodyText"/>
        <w:spacing w:before="10"/>
        <w:rPr>
          <w:sz w:val="20"/>
        </w:rPr>
      </w:pPr>
    </w:p>
    <w:p>
      <w:pPr>
        <w:pStyle w:val="ListParagraph"/>
        <w:numPr>
          <w:ilvl w:val="0"/>
          <w:numId w:val="2"/>
        </w:numPr>
        <w:tabs>
          <w:tab w:pos="1301" w:val="left" w:leader="none"/>
        </w:tabs>
        <w:spacing w:line="240" w:lineRule="auto" w:before="0" w:after="0"/>
        <w:ind w:left="1300" w:right="871" w:hanging="360"/>
        <w:jc w:val="left"/>
        <w:rPr>
          <w:sz w:val="22"/>
        </w:rPr>
      </w:pPr>
      <w:r>
        <w:rPr>
          <w:sz w:val="22"/>
          <w:u w:val="single"/>
        </w:rPr>
        <w:t>DIRECTIVES / TECHNICAL ORDERS AFFECTED</w:t>
      </w:r>
      <w:r>
        <w:rPr>
          <w:sz w:val="22"/>
        </w:rPr>
        <w:t>. A Process Guide Technical Order (PGTO) for installation and commissioning, to include a System Operational Verification Test (SOVT), is subservient to this technical order. High level process steps for installation and commissioning are outlined</w:t>
      </w:r>
      <w:r>
        <w:rPr>
          <w:spacing w:val="2"/>
          <w:sz w:val="22"/>
        </w:rPr>
        <w:t> </w:t>
      </w:r>
      <w:r>
        <w:rPr>
          <w:sz w:val="22"/>
        </w:rPr>
        <w:t>herein.</w:t>
      </w:r>
    </w:p>
    <w:p>
      <w:pPr>
        <w:pStyle w:val="BodyText"/>
        <w:rPr>
          <w:sz w:val="21"/>
        </w:rPr>
      </w:pPr>
    </w:p>
    <w:p>
      <w:pPr>
        <w:pStyle w:val="ListParagraph"/>
        <w:numPr>
          <w:ilvl w:val="0"/>
          <w:numId w:val="2"/>
        </w:numPr>
        <w:tabs>
          <w:tab w:pos="1301" w:val="left" w:leader="none"/>
        </w:tabs>
        <w:spacing w:line="240" w:lineRule="auto" w:before="0" w:after="0"/>
        <w:ind w:left="1300" w:right="0" w:hanging="360"/>
        <w:jc w:val="left"/>
        <w:rPr>
          <w:sz w:val="22"/>
        </w:rPr>
      </w:pPr>
      <w:r>
        <w:rPr>
          <w:sz w:val="22"/>
          <w:u w:val="single"/>
        </w:rPr>
        <w:t>ENVIRONMENTAL ASPECT AND IMPACT</w:t>
      </w:r>
      <w:r>
        <w:rPr>
          <w:spacing w:val="-1"/>
          <w:sz w:val="22"/>
          <w:u w:val="single"/>
        </w:rPr>
        <w:t> </w:t>
      </w:r>
      <w:r>
        <w:rPr>
          <w:sz w:val="22"/>
          <w:u w:val="single"/>
        </w:rPr>
        <w:t>CONSIDERATIONS</w:t>
      </w:r>
      <w:r>
        <w:rPr>
          <w:sz w:val="22"/>
        </w:rPr>
        <w:t>.</w:t>
      </w:r>
    </w:p>
    <w:p>
      <w:pPr>
        <w:pStyle w:val="ListParagraph"/>
        <w:numPr>
          <w:ilvl w:val="1"/>
          <w:numId w:val="2"/>
        </w:numPr>
        <w:tabs>
          <w:tab w:pos="1661" w:val="left" w:leader="none"/>
        </w:tabs>
        <w:spacing w:line="240" w:lineRule="auto" w:before="119" w:after="0"/>
        <w:ind w:left="1660" w:right="846" w:hanging="360"/>
        <w:jc w:val="left"/>
        <w:rPr>
          <w:sz w:val="22"/>
        </w:rPr>
      </w:pPr>
      <w:r>
        <w:rPr>
          <w:sz w:val="22"/>
        </w:rPr>
        <w:t>The general policies contained in this technical order are categorically excluded under current USCG categorical exclusion #33 from further environmental analysis, in accordance with the National Environmental Policy Act Implementing Procedures and Policy for Considering Environmental Impacts, COMDTINST M16475.1</w:t>
      </w:r>
      <w:r>
        <w:rPr>
          <w:spacing w:val="-27"/>
          <w:sz w:val="22"/>
        </w:rPr>
        <w:t> </w:t>
      </w:r>
      <w:r>
        <w:rPr>
          <w:sz w:val="22"/>
        </w:rPr>
        <w:t>(series).</w:t>
      </w:r>
    </w:p>
    <w:p>
      <w:pPr>
        <w:pStyle w:val="ListParagraph"/>
        <w:numPr>
          <w:ilvl w:val="1"/>
          <w:numId w:val="2"/>
        </w:numPr>
        <w:tabs>
          <w:tab w:pos="1661" w:val="left" w:leader="none"/>
        </w:tabs>
        <w:spacing w:line="240" w:lineRule="auto" w:before="121" w:after="0"/>
        <w:ind w:left="1660" w:right="804" w:hanging="360"/>
        <w:jc w:val="left"/>
        <w:rPr>
          <w:sz w:val="22"/>
        </w:rPr>
      </w:pPr>
      <w:r>
        <w:rPr>
          <w:sz w:val="22"/>
        </w:rPr>
        <w:t>All future specific actions resulting from the general policies in this technical order must be individually evaluated for compliance with the National Environmental Policy Act (NEPA), Council on Environmental Quality NEPA regulations at 40 CFR Parts 1500-1508, DHS and Coast Guard NEPA policy, and compliance with all other environmental</w:t>
      </w:r>
      <w:r>
        <w:rPr>
          <w:spacing w:val="-2"/>
          <w:sz w:val="22"/>
        </w:rPr>
        <w:t> </w:t>
      </w:r>
      <w:r>
        <w:rPr>
          <w:sz w:val="22"/>
        </w:rPr>
        <w:t>mandates.</w:t>
      </w:r>
    </w:p>
    <w:p>
      <w:pPr>
        <w:spacing w:after="0" w:line="240" w:lineRule="auto"/>
        <w:jc w:val="left"/>
        <w:rPr>
          <w:sz w:val="22"/>
        </w:rPr>
        <w:sectPr>
          <w:type w:val="continuous"/>
          <w:pgSz w:w="12240" w:h="15840"/>
          <w:pgMar w:top="1000" w:bottom="280" w:left="860" w:right="680"/>
        </w:sectPr>
      </w:pPr>
    </w:p>
    <w:p>
      <w:pPr>
        <w:pStyle w:val="BodyText"/>
        <w:spacing w:before="10"/>
        <w:rPr>
          <w:sz w:val="13"/>
        </w:rPr>
      </w:pPr>
    </w:p>
    <w:p>
      <w:pPr>
        <w:pStyle w:val="ListParagraph"/>
        <w:numPr>
          <w:ilvl w:val="0"/>
          <w:numId w:val="2"/>
        </w:numPr>
        <w:tabs>
          <w:tab w:pos="1301" w:val="left" w:leader="none"/>
        </w:tabs>
        <w:spacing w:line="240" w:lineRule="auto" w:before="93" w:after="0"/>
        <w:ind w:left="1300" w:right="822" w:hanging="360"/>
        <w:jc w:val="left"/>
        <w:rPr>
          <w:sz w:val="22"/>
        </w:rPr>
      </w:pPr>
      <w:r>
        <w:rPr>
          <w:sz w:val="22"/>
          <w:u w:val="single"/>
        </w:rPr>
        <w:t>DISTRIBUTION</w:t>
      </w:r>
      <w:r>
        <w:rPr>
          <w:sz w:val="22"/>
        </w:rPr>
        <w:t>. SILC Business Operations Division (BOD) posts an electronic version of this technical order in CG-TIMS, and will place a link to the document in the Approved Technical Order List on SILC's Configuration Management site on the CG Portal. No paper distribution will be made of this</w:t>
      </w:r>
      <w:r>
        <w:rPr>
          <w:spacing w:val="-1"/>
          <w:sz w:val="22"/>
        </w:rPr>
        <w:t> </w:t>
      </w:r>
      <w:r>
        <w:rPr>
          <w:sz w:val="22"/>
        </w:rPr>
        <w:t>document.</w:t>
      </w:r>
    </w:p>
    <w:p>
      <w:pPr>
        <w:pStyle w:val="BodyText"/>
        <w:rPr>
          <w:sz w:val="21"/>
        </w:rPr>
      </w:pPr>
    </w:p>
    <w:p>
      <w:pPr>
        <w:pStyle w:val="ListParagraph"/>
        <w:numPr>
          <w:ilvl w:val="0"/>
          <w:numId w:val="2"/>
        </w:numPr>
        <w:tabs>
          <w:tab w:pos="1301" w:val="left" w:leader="none"/>
        </w:tabs>
        <w:spacing w:line="240" w:lineRule="auto" w:before="0" w:after="0"/>
        <w:ind w:left="1300" w:right="1569" w:hanging="360"/>
        <w:jc w:val="left"/>
        <w:rPr>
          <w:sz w:val="22"/>
        </w:rPr>
      </w:pPr>
      <w:r>
        <w:rPr>
          <w:sz w:val="22"/>
          <w:u w:val="single"/>
        </w:rPr>
        <w:t>SCOPE</w:t>
      </w:r>
      <w:r>
        <w:rPr>
          <w:sz w:val="22"/>
        </w:rPr>
        <w:t>. The standards described in this technical order shall be implemented in accordance the following</w:t>
      </w:r>
      <w:r>
        <w:rPr>
          <w:spacing w:val="-6"/>
          <w:sz w:val="22"/>
        </w:rPr>
        <w:t> </w:t>
      </w:r>
      <w:r>
        <w:rPr>
          <w:sz w:val="22"/>
        </w:rPr>
        <w:t>constraints:</w:t>
      </w:r>
    </w:p>
    <w:p>
      <w:pPr>
        <w:pStyle w:val="BodyText"/>
        <w:spacing w:before="8"/>
        <w:rPr>
          <w:sz w:val="20"/>
        </w:rPr>
      </w:pPr>
    </w:p>
    <w:p>
      <w:pPr>
        <w:pStyle w:val="ListParagraph"/>
        <w:numPr>
          <w:ilvl w:val="1"/>
          <w:numId w:val="2"/>
        </w:numPr>
        <w:tabs>
          <w:tab w:pos="1661" w:val="left" w:leader="none"/>
        </w:tabs>
        <w:spacing w:line="240" w:lineRule="auto" w:before="0" w:after="0"/>
        <w:ind w:left="1660" w:right="902" w:hanging="360"/>
        <w:jc w:val="left"/>
        <w:rPr>
          <w:sz w:val="22"/>
        </w:rPr>
      </w:pPr>
      <w:r>
        <w:rPr>
          <w:sz w:val="22"/>
          <w:u w:val="single"/>
        </w:rPr>
        <w:t>TECHNICAL AUTHORITY</w:t>
      </w:r>
      <w:r>
        <w:rPr>
          <w:sz w:val="22"/>
        </w:rPr>
        <w:t>. The technical authority for this technical order is SILC Commander. Additional roles and responsibilities are identified in Section </w:t>
      </w:r>
      <w:hyperlink w:history="true" w:anchor="_bookmark7">
        <w:r>
          <w:rPr>
            <w:sz w:val="22"/>
          </w:rPr>
          <w:t>1.4 </w:t>
        </w:r>
      </w:hyperlink>
      <w:r>
        <w:rPr>
          <w:sz w:val="22"/>
        </w:rPr>
        <w:t>of this technical</w:t>
      </w:r>
      <w:r>
        <w:rPr>
          <w:spacing w:val="-1"/>
          <w:sz w:val="22"/>
        </w:rPr>
        <w:t> </w:t>
      </w:r>
      <w:r>
        <w:rPr>
          <w:sz w:val="22"/>
        </w:rPr>
        <w:t>order.</w:t>
      </w:r>
    </w:p>
    <w:p>
      <w:pPr>
        <w:pStyle w:val="ListParagraph"/>
        <w:numPr>
          <w:ilvl w:val="1"/>
          <w:numId w:val="2"/>
        </w:numPr>
        <w:tabs>
          <w:tab w:pos="1661" w:val="left" w:leader="none"/>
        </w:tabs>
        <w:spacing w:line="240" w:lineRule="auto" w:before="122" w:after="0"/>
        <w:ind w:left="1660" w:right="925" w:hanging="360"/>
        <w:jc w:val="left"/>
        <w:rPr>
          <w:sz w:val="22"/>
        </w:rPr>
      </w:pPr>
      <w:r>
        <w:rPr>
          <w:sz w:val="22"/>
          <w:u w:val="single"/>
        </w:rPr>
        <w:t>ASSETS / SERVICES</w:t>
      </w:r>
      <w:r>
        <w:rPr>
          <w:sz w:val="22"/>
        </w:rPr>
        <w:t>. This technical order defines the functional configuration requirements for Utility Systems throughout the Coast Guard. Applicable assets are listed in Section </w:t>
      </w:r>
      <w:hyperlink w:history="true" w:anchor="_bookmark4">
        <w:r>
          <w:rPr>
            <w:sz w:val="22"/>
          </w:rPr>
          <w:t>1.3 </w:t>
        </w:r>
      </w:hyperlink>
      <w:r>
        <w:rPr>
          <w:sz w:val="22"/>
        </w:rPr>
        <w:t>of this technical</w:t>
      </w:r>
      <w:r>
        <w:rPr>
          <w:spacing w:val="-1"/>
          <w:sz w:val="22"/>
        </w:rPr>
        <w:t> </w:t>
      </w:r>
      <w:r>
        <w:rPr>
          <w:sz w:val="22"/>
        </w:rPr>
        <w:t>order.</w:t>
      </w:r>
    </w:p>
    <w:p>
      <w:pPr>
        <w:pStyle w:val="ListParagraph"/>
        <w:numPr>
          <w:ilvl w:val="0"/>
          <w:numId w:val="2"/>
        </w:numPr>
        <w:tabs>
          <w:tab w:pos="1301" w:val="left" w:leader="none"/>
        </w:tabs>
        <w:spacing w:line="240" w:lineRule="auto" w:before="120" w:after="0"/>
        <w:ind w:left="1300" w:right="1041" w:hanging="360"/>
        <w:jc w:val="left"/>
        <w:rPr>
          <w:sz w:val="22"/>
        </w:rPr>
      </w:pPr>
      <w:r>
        <w:rPr>
          <w:sz w:val="22"/>
          <w:u w:val="single"/>
        </w:rPr>
        <w:t>TRAINING</w:t>
      </w:r>
      <w:r>
        <w:rPr>
          <w:sz w:val="22"/>
        </w:rPr>
        <w:t>. Training will be available in multiple formats through the use of technical notes, job guides and job aides. These instructions are posted on the Advanced Metering CG Portal Page (</w:t>
      </w:r>
      <w:hyperlink r:id="rId10">
        <w:r>
          <w:rPr>
            <w:color w:val="0000FF"/>
            <w:sz w:val="22"/>
            <w:u w:val="single" w:color="0000FF"/>
          </w:rPr>
          <w:t>http://cglink.uscg.mil/AMI</w:t>
        </w:r>
      </w:hyperlink>
      <w:r>
        <w:rPr>
          <w:sz w:val="22"/>
        </w:rPr>
        <w:t>). Training will be provided for the user to operate and maintain the equipment installed at each facility, as well as for the personnel that support the</w:t>
      </w:r>
      <w:r>
        <w:rPr>
          <w:spacing w:val="-3"/>
          <w:sz w:val="22"/>
        </w:rPr>
        <w:t> </w:t>
      </w:r>
      <w:r>
        <w:rPr>
          <w:sz w:val="22"/>
        </w:rPr>
        <w:t>equipment.</w:t>
      </w:r>
    </w:p>
    <w:p>
      <w:pPr>
        <w:pStyle w:val="BodyText"/>
        <w:spacing w:before="10"/>
        <w:rPr>
          <w:sz w:val="20"/>
        </w:rPr>
      </w:pPr>
    </w:p>
    <w:p>
      <w:pPr>
        <w:pStyle w:val="ListParagraph"/>
        <w:numPr>
          <w:ilvl w:val="0"/>
          <w:numId w:val="2"/>
        </w:numPr>
        <w:tabs>
          <w:tab w:pos="1301" w:val="left" w:leader="none"/>
        </w:tabs>
        <w:spacing w:line="240" w:lineRule="auto" w:before="0" w:after="0"/>
        <w:ind w:left="1300" w:right="1375" w:hanging="360"/>
        <w:jc w:val="left"/>
        <w:rPr>
          <w:sz w:val="22"/>
        </w:rPr>
      </w:pPr>
      <w:r>
        <w:rPr>
          <w:sz w:val="22"/>
          <w:u w:val="single"/>
        </w:rPr>
        <w:t>DEVELOPMENT TEAM</w:t>
      </w:r>
      <w:r>
        <w:rPr>
          <w:sz w:val="22"/>
        </w:rPr>
        <w:t>. The following authorities and subject matter experts were significantly involved in producing this technical</w:t>
      </w:r>
      <w:r>
        <w:rPr>
          <w:spacing w:val="-5"/>
          <w:sz w:val="22"/>
        </w:rPr>
        <w:t> </w:t>
      </w:r>
      <w:r>
        <w:rPr>
          <w:sz w:val="22"/>
        </w:rPr>
        <w:t>order.</w:t>
      </w:r>
    </w:p>
    <w:p>
      <w:pPr>
        <w:pStyle w:val="BodyText"/>
        <w:spacing w:before="1"/>
        <w:rPr>
          <w:sz w:val="21"/>
        </w:rPr>
      </w:pPr>
    </w:p>
    <w:tbl>
      <w:tblPr>
        <w:tblW w:w="0" w:type="auto"/>
        <w:jc w:val="left"/>
        <w:tblInd w:w="142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0" w:type="dxa"/>
          <w:left w:w="0" w:type="dxa"/>
          <w:bottom w:w="0" w:type="dxa"/>
          <w:right w:w="0" w:type="dxa"/>
        </w:tblCellMar>
        <w:tblLook w:val="01E0"/>
      </w:tblPr>
      <w:tblGrid>
        <w:gridCol w:w="2341"/>
        <w:gridCol w:w="3481"/>
        <w:gridCol w:w="2912"/>
      </w:tblGrid>
      <w:tr>
        <w:trPr>
          <w:trHeight w:val="367" w:hRule="atLeast"/>
        </w:trPr>
        <w:tc>
          <w:tcPr>
            <w:tcW w:w="2341" w:type="dxa"/>
            <w:shd w:val="clear" w:color="auto" w:fill="D9D9D9"/>
          </w:tcPr>
          <w:p>
            <w:pPr>
              <w:pStyle w:val="TableParagraph"/>
              <w:spacing w:before="64"/>
              <w:ind w:left="115"/>
              <w:rPr>
                <w:b/>
                <w:sz w:val="20"/>
              </w:rPr>
            </w:pPr>
            <w:r>
              <w:rPr>
                <w:b/>
                <w:sz w:val="20"/>
              </w:rPr>
              <w:t>Name</w:t>
            </w:r>
          </w:p>
        </w:tc>
        <w:tc>
          <w:tcPr>
            <w:tcW w:w="3481" w:type="dxa"/>
            <w:shd w:val="clear" w:color="auto" w:fill="D9D9D9"/>
          </w:tcPr>
          <w:p>
            <w:pPr>
              <w:pStyle w:val="TableParagraph"/>
              <w:spacing w:before="64"/>
              <w:ind w:left="114"/>
              <w:rPr>
                <w:b/>
                <w:sz w:val="20"/>
              </w:rPr>
            </w:pPr>
            <w:r>
              <w:rPr>
                <w:b/>
                <w:sz w:val="20"/>
              </w:rPr>
              <w:t>Position</w:t>
            </w:r>
          </w:p>
        </w:tc>
        <w:tc>
          <w:tcPr>
            <w:tcW w:w="2912" w:type="dxa"/>
            <w:shd w:val="clear" w:color="auto" w:fill="D9D9D9"/>
          </w:tcPr>
          <w:p>
            <w:pPr>
              <w:pStyle w:val="TableParagraph"/>
              <w:spacing w:before="64"/>
              <w:rPr>
                <w:b/>
                <w:sz w:val="20"/>
              </w:rPr>
            </w:pPr>
            <w:r>
              <w:rPr>
                <w:b/>
                <w:sz w:val="20"/>
              </w:rPr>
              <w:t>Organization</w:t>
            </w:r>
          </w:p>
        </w:tc>
      </w:tr>
      <w:tr>
        <w:trPr>
          <w:trHeight w:val="597" w:hRule="atLeast"/>
        </w:trPr>
        <w:tc>
          <w:tcPr>
            <w:tcW w:w="2341" w:type="dxa"/>
            <w:tcBorders>
              <w:left w:val="single" w:sz="2" w:space="0" w:color="BEBEBE"/>
              <w:right w:val="single" w:sz="2" w:space="0" w:color="BEBEBE"/>
            </w:tcBorders>
          </w:tcPr>
          <w:p>
            <w:pPr>
              <w:pStyle w:val="TableParagraph"/>
              <w:spacing w:before="66"/>
              <w:ind w:left="115"/>
              <w:rPr>
                <w:sz w:val="20"/>
              </w:rPr>
            </w:pPr>
            <w:r>
              <w:rPr>
                <w:sz w:val="20"/>
              </w:rPr>
              <w:t>CDR Michael Roschel</w:t>
            </w:r>
          </w:p>
        </w:tc>
        <w:tc>
          <w:tcPr>
            <w:tcW w:w="3481" w:type="dxa"/>
            <w:tcBorders>
              <w:left w:val="single" w:sz="2" w:space="0" w:color="BEBEBE"/>
              <w:right w:val="single" w:sz="2" w:space="0" w:color="BEBEBE"/>
            </w:tcBorders>
          </w:tcPr>
          <w:p>
            <w:pPr>
              <w:pStyle w:val="TableParagraph"/>
              <w:spacing w:before="66"/>
              <w:ind w:left="114" w:right="729"/>
              <w:rPr>
                <w:sz w:val="20"/>
              </w:rPr>
            </w:pPr>
            <w:r>
              <w:rPr>
                <w:sz w:val="20"/>
              </w:rPr>
              <w:t>Mission Support Product Line (MSPL) Manager</w:t>
            </w:r>
          </w:p>
        </w:tc>
        <w:tc>
          <w:tcPr>
            <w:tcW w:w="2912" w:type="dxa"/>
            <w:tcBorders>
              <w:left w:val="single" w:sz="2" w:space="0" w:color="BEBEBE"/>
              <w:right w:val="single" w:sz="2" w:space="0" w:color="BEBEBE"/>
            </w:tcBorders>
          </w:tcPr>
          <w:p>
            <w:pPr>
              <w:pStyle w:val="TableParagraph"/>
              <w:spacing w:before="66"/>
              <w:rPr>
                <w:sz w:val="20"/>
              </w:rPr>
            </w:pPr>
            <w:r>
              <w:rPr>
                <w:sz w:val="20"/>
              </w:rPr>
              <w:t>CEU Providence</w:t>
            </w:r>
          </w:p>
        </w:tc>
      </w:tr>
      <w:tr>
        <w:trPr>
          <w:trHeight w:val="599" w:hRule="atLeast"/>
        </w:trPr>
        <w:tc>
          <w:tcPr>
            <w:tcW w:w="2341" w:type="dxa"/>
            <w:tcBorders>
              <w:left w:val="single" w:sz="2" w:space="0" w:color="BEBEBE"/>
              <w:right w:val="single" w:sz="2" w:space="0" w:color="BEBEBE"/>
            </w:tcBorders>
          </w:tcPr>
          <w:p>
            <w:pPr>
              <w:pStyle w:val="TableParagraph"/>
              <w:spacing w:before="69"/>
              <w:ind w:left="115"/>
              <w:rPr>
                <w:sz w:val="20"/>
              </w:rPr>
            </w:pPr>
            <w:r>
              <w:rPr>
                <w:sz w:val="20"/>
              </w:rPr>
              <w:t>LCDR Mike Cost</w:t>
            </w:r>
          </w:p>
        </w:tc>
        <w:tc>
          <w:tcPr>
            <w:tcW w:w="3481" w:type="dxa"/>
            <w:tcBorders>
              <w:left w:val="single" w:sz="2" w:space="0" w:color="BEBEBE"/>
              <w:right w:val="single" w:sz="2" w:space="0" w:color="BEBEBE"/>
            </w:tcBorders>
          </w:tcPr>
          <w:p>
            <w:pPr>
              <w:pStyle w:val="TableParagraph"/>
              <w:spacing w:before="69"/>
              <w:ind w:left="114" w:right="229"/>
              <w:rPr>
                <w:sz w:val="20"/>
              </w:rPr>
            </w:pPr>
            <w:r>
              <w:rPr>
                <w:sz w:val="20"/>
              </w:rPr>
              <w:t>Deputy Mission Support Product Line Manager</w:t>
            </w:r>
          </w:p>
        </w:tc>
        <w:tc>
          <w:tcPr>
            <w:tcW w:w="2912" w:type="dxa"/>
            <w:tcBorders>
              <w:left w:val="single" w:sz="2" w:space="0" w:color="BEBEBE"/>
              <w:right w:val="single" w:sz="2" w:space="0" w:color="BEBEBE"/>
            </w:tcBorders>
          </w:tcPr>
          <w:p>
            <w:pPr>
              <w:pStyle w:val="TableParagraph"/>
              <w:spacing w:before="69"/>
              <w:rPr>
                <w:sz w:val="20"/>
              </w:rPr>
            </w:pPr>
            <w:r>
              <w:rPr>
                <w:sz w:val="20"/>
              </w:rPr>
              <w:t>CEU Providence</w:t>
            </w:r>
          </w:p>
        </w:tc>
      </w:tr>
      <w:tr>
        <w:trPr>
          <w:trHeight w:val="597" w:hRule="atLeast"/>
        </w:trPr>
        <w:tc>
          <w:tcPr>
            <w:tcW w:w="2341" w:type="dxa"/>
            <w:tcBorders>
              <w:left w:val="single" w:sz="2" w:space="0" w:color="BEBEBE"/>
              <w:bottom w:val="single" w:sz="2" w:space="0" w:color="BEBEBE"/>
              <w:right w:val="single" w:sz="2" w:space="0" w:color="BEBEBE"/>
            </w:tcBorders>
          </w:tcPr>
          <w:p>
            <w:pPr>
              <w:pStyle w:val="TableParagraph"/>
              <w:spacing w:before="66"/>
              <w:ind w:left="115" w:right="95"/>
              <w:rPr>
                <w:sz w:val="20"/>
              </w:rPr>
            </w:pPr>
            <w:r>
              <w:rPr>
                <w:sz w:val="20"/>
              </w:rPr>
              <w:t>LCDR Lawrence Tormey</w:t>
            </w:r>
          </w:p>
        </w:tc>
        <w:tc>
          <w:tcPr>
            <w:tcW w:w="3481" w:type="dxa"/>
            <w:tcBorders>
              <w:left w:val="single" w:sz="2" w:space="0" w:color="BEBEBE"/>
              <w:bottom w:val="single" w:sz="2" w:space="0" w:color="BEBEBE"/>
              <w:right w:val="single" w:sz="2" w:space="0" w:color="BEBEBE"/>
            </w:tcBorders>
          </w:tcPr>
          <w:p>
            <w:pPr>
              <w:pStyle w:val="TableParagraph"/>
              <w:spacing w:before="66"/>
              <w:ind w:left="114" w:right="229"/>
              <w:rPr>
                <w:sz w:val="20"/>
              </w:rPr>
            </w:pPr>
            <w:r>
              <w:rPr>
                <w:sz w:val="20"/>
              </w:rPr>
              <w:t>Mission Support Asset Line Branch Chief</w:t>
            </w:r>
          </w:p>
        </w:tc>
        <w:tc>
          <w:tcPr>
            <w:tcW w:w="2912" w:type="dxa"/>
            <w:tcBorders>
              <w:left w:val="single" w:sz="2" w:space="0" w:color="BEBEBE"/>
              <w:bottom w:val="single" w:sz="2" w:space="0" w:color="BEBEBE"/>
              <w:right w:val="single" w:sz="2" w:space="0" w:color="BEBEBE"/>
            </w:tcBorders>
          </w:tcPr>
          <w:p>
            <w:pPr>
              <w:pStyle w:val="TableParagraph"/>
              <w:spacing w:before="66"/>
              <w:ind w:right="176"/>
              <w:rPr>
                <w:sz w:val="20"/>
              </w:rPr>
            </w:pPr>
            <w:r>
              <w:rPr>
                <w:sz w:val="20"/>
              </w:rPr>
              <w:t>SILC Mission Support Product Line</w:t>
            </w:r>
          </w:p>
        </w:tc>
      </w:tr>
      <w:tr>
        <w:trPr>
          <w:trHeight w:val="597" w:hRule="atLeast"/>
        </w:trPr>
        <w:tc>
          <w:tcPr>
            <w:tcW w:w="2341" w:type="dxa"/>
            <w:tcBorders>
              <w:top w:val="single" w:sz="2" w:space="0" w:color="BEBEBE"/>
              <w:left w:val="single" w:sz="2" w:space="0" w:color="BEBEBE"/>
              <w:bottom w:val="single" w:sz="2" w:space="0" w:color="BEBEBE"/>
              <w:right w:val="single" w:sz="2" w:space="0" w:color="BEBEBE"/>
            </w:tcBorders>
          </w:tcPr>
          <w:p>
            <w:pPr>
              <w:pStyle w:val="TableParagraph"/>
              <w:spacing w:before="66"/>
              <w:ind w:left="115"/>
              <w:rPr>
                <w:sz w:val="20"/>
              </w:rPr>
            </w:pPr>
            <w:r>
              <w:rPr>
                <w:sz w:val="20"/>
              </w:rPr>
              <w:t>Catherine LaBranche</w:t>
            </w:r>
          </w:p>
        </w:tc>
        <w:tc>
          <w:tcPr>
            <w:tcW w:w="3481" w:type="dxa"/>
            <w:tcBorders>
              <w:top w:val="single" w:sz="2" w:space="0" w:color="BEBEBE"/>
              <w:left w:val="single" w:sz="2" w:space="0" w:color="BEBEBE"/>
              <w:bottom w:val="single" w:sz="2" w:space="0" w:color="BEBEBE"/>
              <w:right w:val="single" w:sz="2" w:space="0" w:color="BEBEBE"/>
            </w:tcBorders>
          </w:tcPr>
          <w:p>
            <w:pPr>
              <w:pStyle w:val="TableParagraph"/>
              <w:spacing w:before="66"/>
              <w:ind w:left="114" w:right="574"/>
              <w:rPr>
                <w:sz w:val="20"/>
              </w:rPr>
            </w:pPr>
            <w:r>
              <w:rPr>
                <w:sz w:val="20"/>
              </w:rPr>
              <w:t>Asset Line Manager(ALM) / TO Author</w:t>
            </w:r>
          </w:p>
        </w:tc>
        <w:tc>
          <w:tcPr>
            <w:tcW w:w="2912" w:type="dxa"/>
            <w:tcBorders>
              <w:top w:val="single" w:sz="2" w:space="0" w:color="BEBEBE"/>
              <w:left w:val="single" w:sz="2" w:space="0" w:color="BEBEBE"/>
              <w:bottom w:val="single" w:sz="2" w:space="0" w:color="BEBEBE"/>
              <w:right w:val="single" w:sz="2" w:space="0" w:color="BEBEBE"/>
            </w:tcBorders>
          </w:tcPr>
          <w:p>
            <w:pPr>
              <w:pStyle w:val="TableParagraph"/>
              <w:spacing w:before="66"/>
              <w:ind w:right="176"/>
              <w:rPr>
                <w:sz w:val="20"/>
              </w:rPr>
            </w:pPr>
            <w:r>
              <w:rPr>
                <w:sz w:val="20"/>
              </w:rPr>
              <w:t>Civil Works Asset Line (CIVW)</w:t>
            </w:r>
          </w:p>
        </w:tc>
      </w:tr>
      <w:tr>
        <w:trPr>
          <w:trHeight w:val="369" w:hRule="atLeast"/>
        </w:trPr>
        <w:tc>
          <w:tcPr>
            <w:tcW w:w="2341" w:type="dxa"/>
            <w:tcBorders>
              <w:top w:val="single" w:sz="2" w:space="0" w:color="BEBEBE"/>
              <w:left w:val="single" w:sz="2" w:space="0" w:color="BEBEBE"/>
              <w:bottom w:val="single" w:sz="2" w:space="0" w:color="BEBEBE"/>
              <w:right w:val="single" w:sz="2" w:space="0" w:color="BEBEBE"/>
            </w:tcBorders>
          </w:tcPr>
          <w:p>
            <w:pPr>
              <w:pStyle w:val="TableParagraph"/>
              <w:spacing w:before="66"/>
              <w:ind w:left="115"/>
              <w:rPr>
                <w:sz w:val="20"/>
              </w:rPr>
            </w:pPr>
            <w:r>
              <w:rPr>
                <w:sz w:val="20"/>
              </w:rPr>
              <w:t>Tony vanWinden</w:t>
            </w:r>
          </w:p>
        </w:tc>
        <w:tc>
          <w:tcPr>
            <w:tcW w:w="3481" w:type="dxa"/>
            <w:tcBorders>
              <w:top w:val="single" w:sz="2" w:space="0" w:color="BEBEBE"/>
              <w:left w:val="single" w:sz="2" w:space="0" w:color="BEBEBE"/>
              <w:bottom w:val="single" w:sz="2" w:space="0" w:color="BEBEBE"/>
              <w:right w:val="single" w:sz="2" w:space="0" w:color="BEBEBE"/>
            </w:tcBorders>
          </w:tcPr>
          <w:p>
            <w:pPr>
              <w:pStyle w:val="TableParagraph"/>
              <w:spacing w:before="66"/>
              <w:ind w:left="114"/>
              <w:rPr>
                <w:sz w:val="20"/>
              </w:rPr>
            </w:pPr>
            <w:r>
              <w:rPr>
                <w:sz w:val="20"/>
              </w:rPr>
              <w:t>Facilities Engineering</w:t>
            </w:r>
          </w:p>
        </w:tc>
        <w:tc>
          <w:tcPr>
            <w:tcW w:w="2912" w:type="dxa"/>
            <w:tcBorders>
              <w:top w:val="single" w:sz="2" w:space="0" w:color="BEBEBE"/>
              <w:left w:val="single" w:sz="2" w:space="0" w:color="BEBEBE"/>
              <w:bottom w:val="single" w:sz="2" w:space="0" w:color="BEBEBE"/>
              <w:right w:val="single" w:sz="2" w:space="0" w:color="BEBEBE"/>
            </w:tcBorders>
          </w:tcPr>
          <w:p>
            <w:pPr>
              <w:pStyle w:val="TableParagraph"/>
              <w:spacing w:before="66"/>
              <w:rPr>
                <w:sz w:val="20"/>
              </w:rPr>
            </w:pPr>
            <w:r>
              <w:rPr>
                <w:sz w:val="20"/>
              </w:rPr>
              <w:t>TRACEN Petaluma</w:t>
            </w:r>
          </w:p>
        </w:tc>
      </w:tr>
      <w:tr>
        <w:trPr>
          <w:trHeight w:val="367" w:hRule="atLeast"/>
        </w:trPr>
        <w:tc>
          <w:tcPr>
            <w:tcW w:w="2341" w:type="dxa"/>
            <w:tcBorders>
              <w:top w:val="single" w:sz="2" w:space="0" w:color="BEBEBE"/>
              <w:left w:val="single" w:sz="2" w:space="0" w:color="BEBEBE"/>
              <w:bottom w:val="single" w:sz="2" w:space="0" w:color="BEBEBE"/>
              <w:right w:val="single" w:sz="2" w:space="0" w:color="BEBEBE"/>
            </w:tcBorders>
          </w:tcPr>
          <w:p>
            <w:pPr>
              <w:pStyle w:val="TableParagraph"/>
              <w:spacing w:before="66"/>
              <w:ind w:left="115"/>
              <w:rPr>
                <w:sz w:val="20"/>
              </w:rPr>
            </w:pPr>
            <w:r>
              <w:rPr>
                <w:sz w:val="20"/>
              </w:rPr>
              <w:t>ETC Seth Endter</w:t>
            </w:r>
          </w:p>
        </w:tc>
        <w:tc>
          <w:tcPr>
            <w:tcW w:w="3481" w:type="dxa"/>
            <w:tcBorders>
              <w:top w:val="single" w:sz="2" w:space="0" w:color="BEBEBE"/>
              <w:left w:val="single" w:sz="2" w:space="0" w:color="BEBEBE"/>
              <w:bottom w:val="single" w:sz="2" w:space="0" w:color="BEBEBE"/>
              <w:right w:val="single" w:sz="2" w:space="0" w:color="BEBEBE"/>
            </w:tcBorders>
          </w:tcPr>
          <w:p>
            <w:pPr>
              <w:pStyle w:val="TableParagraph"/>
              <w:spacing w:before="66"/>
              <w:ind w:left="114"/>
              <w:rPr>
                <w:sz w:val="20"/>
              </w:rPr>
            </w:pPr>
            <w:r>
              <w:rPr>
                <w:sz w:val="20"/>
              </w:rPr>
              <w:t>Electronics Technician Chief</w:t>
            </w:r>
          </w:p>
        </w:tc>
        <w:tc>
          <w:tcPr>
            <w:tcW w:w="2912" w:type="dxa"/>
            <w:tcBorders>
              <w:top w:val="single" w:sz="2" w:space="0" w:color="BEBEBE"/>
              <w:left w:val="single" w:sz="2" w:space="0" w:color="BEBEBE"/>
              <w:bottom w:val="single" w:sz="2" w:space="0" w:color="BEBEBE"/>
              <w:right w:val="single" w:sz="2" w:space="0" w:color="BEBEBE"/>
            </w:tcBorders>
          </w:tcPr>
          <w:p>
            <w:pPr>
              <w:pStyle w:val="TableParagraph"/>
              <w:spacing w:before="66"/>
              <w:rPr>
                <w:sz w:val="20"/>
              </w:rPr>
            </w:pPr>
            <w:r>
              <w:rPr>
                <w:sz w:val="20"/>
              </w:rPr>
              <w:t>TRACEN Petaluma</w:t>
            </w:r>
          </w:p>
        </w:tc>
      </w:tr>
      <w:tr>
        <w:trPr>
          <w:trHeight w:val="367" w:hRule="atLeast"/>
        </w:trPr>
        <w:tc>
          <w:tcPr>
            <w:tcW w:w="2341" w:type="dxa"/>
            <w:tcBorders>
              <w:top w:val="single" w:sz="2" w:space="0" w:color="BEBEBE"/>
              <w:left w:val="single" w:sz="2" w:space="0" w:color="BEBEBE"/>
              <w:bottom w:val="single" w:sz="2" w:space="0" w:color="BEBEBE"/>
              <w:right w:val="single" w:sz="2" w:space="0" w:color="BEBEBE"/>
            </w:tcBorders>
          </w:tcPr>
          <w:p>
            <w:pPr>
              <w:pStyle w:val="TableParagraph"/>
              <w:spacing w:before="66"/>
              <w:ind w:left="115"/>
              <w:rPr>
                <w:sz w:val="20"/>
              </w:rPr>
            </w:pPr>
            <w:r>
              <w:rPr>
                <w:sz w:val="20"/>
              </w:rPr>
              <w:t>Tina Hamilton</w:t>
            </w:r>
          </w:p>
        </w:tc>
        <w:tc>
          <w:tcPr>
            <w:tcW w:w="3481" w:type="dxa"/>
            <w:tcBorders>
              <w:top w:val="single" w:sz="2" w:space="0" w:color="BEBEBE"/>
              <w:left w:val="single" w:sz="2" w:space="0" w:color="BEBEBE"/>
              <w:bottom w:val="single" w:sz="2" w:space="0" w:color="BEBEBE"/>
              <w:right w:val="single" w:sz="2" w:space="0" w:color="BEBEBE"/>
            </w:tcBorders>
          </w:tcPr>
          <w:p>
            <w:pPr>
              <w:pStyle w:val="TableParagraph"/>
              <w:spacing w:before="66"/>
              <w:ind w:left="114"/>
              <w:rPr>
                <w:sz w:val="20"/>
              </w:rPr>
            </w:pPr>
            <w:r>
              <w:rPr>
                <w:sz w:val="20"/>
              </w:rPr>
              <w:t>Information Technology ALM</w:t>
            </w:r>
          </w:p>
        </w:tc>
        <w:tc>
          <w:tcPr>
            <w:tcW w:w="2912" w:type="dxa"/>
            <w:tcBorders>
              <w:top w:val="single" w:sz="2" w:space="0" w:color="BEBEBE"/>
              <w:left w:val="single" w:sz="2" w:space="0" w:color="BEBEBE"/>
              <w:bottom w:val="single" w:sz="2" w:space="0" w:color="BEBEBE"/>
              <w:right w:val="single" w:sz="2" w:space="0" w:color="BEBEBE"/>
            </w:tcBorders>
          </w:tcPr>
          <w:p>
            <w:pPr>
              <w:pStyle w:val="TableParagraph"/>
              <w:spacing w:before="66"/>
              <w:rPr>
                <w:sz w:val="20"/>
              </w:rPr>
            </w:pPr>
            <w:r>
              <w:rPr>
                <w:sz w:val="20"/>
              </w:rPr>
              <w:t>OSC Logistics Product Line</w:t>
            </w:r>
          </w:p>
        </w:tc>
      </w:tr>
      <w:tr>
        <w:trPr>
          <w:trHeight w:val="599" w:hRule="atLeast"/>
        </w:trPr>
        <w:tc>
          <w:tcPr>
            <w:tcW w:w="2341" w:type="dxa"/>
            <w:tcBorders>
              <w:top w:val="single" w:sz="2" w:space="0" w:color="BEBEBE"/>
              <w:left w:val="single" w:sz="2" w:space="0" w:color="BEBEBE"/>
              <w:bottom w:val="single" w:sz="2" w:space="0" w:color="BEBEBE"/>
              <w:right w:val="single" w:sz="2" w:space="0" w:color="BEBEBE"/>
            </w:tcBorders>
          </w:tcPr>
          <w:p>
            <w:pPr>
              <w:pStyle w:val="TableParagraph"/>
              <w:spacing w:before="69"/>
              <w:ind w:left="115"/>
              <w:rPr>
                <w:sz w:val="20"/>
              </w:rPr>
            </w:pPr>
            <w:r>
              <w:rPr>
                <w:sz w:val="20"/>
              </w:rPr>
              <w:t>John Regan</w:t>
            </w:r>
          </w:p>
        </w:tc>
        <w:tc>
          <w:tcPr>
            <w:tcW w:w="3481" w:type="dxa"/>
            <w:tcBorders>
              <w:top w:val="single" w:sz="2" w:space="0" w:color="BEBEBE"/>
              <w:left w:val="single" w:sz="2" w:space="0" w:color="BEBEBE"/>
              <w:bottom w:val="single" w:sz="2" w:space="0" w:color="BEBEBE"/>
              <w:right w:val="single" w:sz="2" w:space="0" w:color="BEBEBE"/>
            </w:tcBorders>
          </w:tcPr>
          <w:p>
            <w:pPr>
              <w:pStyle w:val="TableParagraph"/>
              <w:spacing w:before="69"/>
              <w:ind w:left="114"/>
              <w:rPr>
                <w:sz w:val="20"/>
              </w:rPr>
            </w:pPr>
            <w:r>
              <w:rPr>
                <w:sz w:val="20"/>
              </w:rPr>
              <w:t>Design Section Chief</w:t>
            </w:r>
          </w:p>
        </w:tc>
        <w:tc>
          <w:tcPr>
            <w:tcW w:w="2912" w:type="dxa"/>
            <w:tcBorders>
              <w:top w:val="single" w:sz="2" w:space="0" w:color="BEBEBE"/>
              <w:left w:val="single" w:sz="2" w:space="0" w:color="BEBEBE"/>
              <w:bottom w:val="single" w:sz="2" w:space="0" w:color="BEBEBE"/>
              <w:right w:val="single" w:sz="2" w:space="0" w:color="BEBEBE"/>
            </w:tcBorders>
          </w:tcPr>
          <w:p>
            <w:pPr>
              <w:pStyle w:val="TableParagraph"/>
              <w:spacing w:before="69"/>
              <w:ind w:right="176"/>
              <w:rPr>
                <w:sz w:val="20"/>
              </w:rPr>
            </w:pPr>
            <w:r>
              <w:rPr>
                <w:sz w:val="20"/>
              </w:rPr>
              <w:t>FDCC Project Execution Branch</w:t>
            </w:r>
          </w:p>
        </w:tc>
      </w:tr>
      <w:tr>
        <w:trPr>
          <w:trHeight w:val="367" w:hRule="atLeast"/>
        </w:trPr>
        <w:tc>
          <w:tcPr>
            <w:tcW w:w="2341" w:type="dxa"/>
            <w:tcBorders>
              <w:top w:val="single" w:sz="2" w:space="0" w:color="BEBEBE"/>
              <w:left w:val="single" w:sz="2" w:space="0" w:color="BEBEBE"/>
              <w:bottom w:val="single" w:sz="2" w:space="0" w:color="BEBEBE"/>
              <w:right w:val="single" w:sz="2" w:space="0" w:color="BEBEBE"/>
            </w:tcBorders>
          </w:tcPr>
          <w:p>
            <w:pPr>
              <w:pStyle w:val="TableParagraph"/>
              <w:spacing w:before="66"/>
              <w:ind w:left="115"/>
              <w:rPr>
                <w:sz w:val="20"/>
              </w:rPr>
            </w:pPr>
            <w:r>
              <w:rPr>
                <w:sz w:val="20"/>
              </w:rPr>
              <w:t>Paul Miller</w:t>
            </w:r>
          </w:p>
        </w:tc>
        <w:tc>
          <w:tcPr>
            <w:tcW w:w="3481" w:type="dxa"/>
            <w:tcBorders>
              <w:top w:val="single" w:sz="2" w:space="0" w:color="BEBEBE"/>
              <w:left w:val="single" w:sz="2" w:space="0" w:color="BEBEBE"/>
              <w:bottom w:val="single" w:sz="2" w:space="0" w:color="BEBEBE"/>
              <w:right w:val="single" w:sz="2" w:space="0" w:color="BEBEBE"/>
            </w:tcBorders>
          </w:tcPr>
          <w:p>
            <w:pPr>
              <w:pStyle w:val="TableParagraph"/>
              <w:spacing w:before="66"/>
              <w:ind w:left="114"/>
              <w:rPr>
                <w:sz w:val="20"/>
              </w:rPr>
            </w:pPr>
            <w:r>
              <w:rPr>
                <w:sz w:val="20"/>
              </w:rPr>
              <w:t>Asset Line Analyst</w:t>
            </w:r>
          </w:p>
        </w:tc>
        <w:tc>
          <w:tcPr>
            <w:tcW w:w="2912" w:type="dxa"/>
            <w:tcBorders>
              <w:top w:val="single" w:sz="2" w:space="0" w:color="BEBEBE"/>
              <w:left w:val="single" w:sz="2" w:space="0" w:color="BEBEBE"/>
              <w:bottom w:val="single" w:sz="2" w:space="0" w:color="BEBEBE"/>
              <w:right w:val="single" w:sz="2" w:space="0" w:color="BEBEBE"/>
            </w:tcBorders>
          </w:tcPr>
          <w:p>
            <w:pPr>
              <w:pStyle w:val="TableParagraph"/>
              <w:spacing w:before="66"/>
              <w:rPr>
                <w:sz w:val="20"/>
              </w:rPr>
            </w:pPr>
            <w:r>
              <w:rPr>
                <w:sz w:val="20"/>
              </w:rPr>
              <w:t>Jacobs</w:t>
            </w:r>
          </w:p>
        </w:tc>
      </w:tr>
      <w:tr>
        <w:trPr>
          <w:trHeight w:val="367" w:hRule="atLeast"/>
        </w:trPr>
        <w:tc>
          <w:tcPr>
            <w:tcW w:w="2341" w:type="dxa"/>
            <w:tcBorders>
              <w:top w:val="single" w:sz="2" w:space="0" w:color="BEBEBE"/>
              <w:left w:val="single" w:sz="2" w:space="0" w:color="BEBEBE"/>
              <w:bottom w:val="single" w:sz="2" w:space="0" w:color="BEBEBE"/>
              <w:right w:val="single" w:sz="2" w:space="0" w:color="BEBEBE"/>
            </w:tcBorders>
          </w:tcPr>
          <w:p>
            <w:pPr>
              <w:pStyle w:val="TableParagraph"/>
              <w:spacing w:before="66"/>
              <w:ind w:left="115"/>
              <w:rPr>
                <w:sz w:val="20"/>
              </w:rPr>
            </w:pPr>
            <w:r>
              <w:rPr>
                <w:sz w:val="20"/>
              </w:rPr>
              <w:t>John Harsche</w:t>
            </w:r>
          </w:p>
        </w:tc>
        <w:tc>
          <w:tcPr>
            <w:tcW w:w="3481" w:type="dxa"/>
            <w:tcBorders>
              <w:top w:val="single" w:sz="2" w:space="0" w:color="BEBEBE"/>
              <w:left w:val="single" w:sz="2" w:space="0" w:color="BEBEBE"/>
              <w:bottom w:val="single" w:sz="2" w:space="0" w:color="BEBEBE"/>
              <w:right w:val="single" w:sz="2" w:space="0" w:color="BEBEBE"/>
            </w:tcBorders>
          </w:tcPr>
          <w:p>
            <w:pPr>
              <w:pStyle w:val="TableParagraph"/>
              <w:spacing w:before="66"/>
              <w:ind w:left="114"/>
              <w:rPr>
                <w:sz w:val="20"/>
              </w:rPr>
            </w:pPr>
            <w:r>
              <w:rPr>
                <w:sz w:val="20"/>
              </w:rPr>
              <w:t>Resource Efficiency Manager</w:t>
            </w:r>
          </w:p>
        </w:tc>
        <w:tc>
          <w:tcPr>
            <w:tcW w:w="2912" w:type="dxa"/>
            <w:tcBorders>
              <w:top w:val="single" w:sz="2" w:space="0" w:color="BEBEBE"/>
              <w:left w:val="single" w:sz="2" w:space="0" w:color="BEBEBE"/>
              <w:bottom w:val="single" w:sz="2" w:space="0" w:color="BEBEBE"/>
              <w:right w:val="single" w:sz="2" w:space="0" w:color="BEBEBE"/>
            </w:tcBorders>
          </w:tcPr>
          <w:p>
            <w:pPr>
              <w:pStyle w:val="TableParagraph"/>
              <w:spacing w:before="66"/>
              <w:rPr>
                <w:sz w:val="20"/>
              </w:rPr>
            </w:pPr>
            <w:r>
              <w:rPr>
                <w:sz w:val="20"/>
              </w:rPr>
              <w:t>Tetra Tech, Inc.</w:t>
            </w:r>
          </w:p>
        </w:tc>
      </w:tr>
    </w:tbl>
    <w:p>
      <w:pPr>
        <w:spacing w:after="0"/>
        <w:rPr>
          <w:sz w:val="20"/>
        </w:rPr>
        <w:sectPr>
          <w:headerReference w:type="default" r:id="rId9"/>
          <w:pgSz w:w="12240" w:h="15840"/>
          <w:pgMar w:header="1012" w:footer="0" w:top="2000" w:bottom="280" w:left="860" w:right="680"/>
        </w:sectPr>
      </w:pPr>
    </w:p>
    <w:p>
      <w:pPr>
        <w:pStyle w:val="BodyText"/>
        <w:spacing w:before="10"/>
        <w:rPr>
          <w:sz w:val="13"/>
        </w:rPr>
      </w:pPr>
    </w:p>
    <w:p>
      <w:pPr>
        <w:pStyle w:val="ListParagraph"/>
        <w:numPr>
          <w:ilvl w:val="0"/>
          <w:numId w:val="2"/>
        </w:numPr>
        <w:tabs>
          <w:tab w:pos="1301" w:val="left" w:leader="none"/>
        </w:tabs>
        <w:spacing w:line="240" w:lineRule="auto" w:before="93" w:after="0"/>
        <w:ind w:left="1300" w:right="0" w:hanging="360"/>
        <w:jc w:val="left"/>
        <w:rPr>
          <w:sz w:val="22"/>
        </w:rPr>
      </w:pPr>
      <w:r>
        <w:rPr>
          <w:sz w:val="22"/>
          <w:u w:val="single"/>
        </w:rPr>
        <w:t>FORMS / REPORTS</w:t>
      </w:r>
      <w:r>
        <w:rPr>
          <w:sz w:val="22"/>
        </w:rPr>
        <w:t>.</w:t>
      </w:r>
      <w:r>
        <w:rPr>
          <w:spacing w:val="3"/>
          <w:sz w:val="22"/>
        </w:rPr>
        <w:t> </w:t>
      </w:r>
      <w:r>
        <w:rPr>
          <w:sz w:val="22"/>
        </w:rPr>
        <w:t>None.</w:t>
      </w:r>
    </w:p>
    <w:p>
      <w:pPr>
        <w:pStyle w:val="BodyText"/>
        <w:spacing w:before="9"/>
        <w:rPr>
          <w:sz w:val="20"/>
        </w:rPr>
      </w:pPr>
    </w:p>
    <w:p>
      <w:pPr>
        <w:pStyle w:val="ListParagraph"/>
        <w:numPr>
          <w:ilvl w:val="0"/>
          <w:numId w:val="2"/>
        </w:numPr>
        <w:tabs>
          <w:tab w:pos="1301" w:val="left" w:leader="none"/>
        </w:tabs>
        <w:spacing w:line="240" w:lineRule="auto" w:before="1" w:after="0"/>
        <w:ind w:left="1300" w:right="1343" w:hanging="360"/>
        <w:jc w:val="left"/>
        <w:rPr>
          <w:sz w:val="22"/>
        </w:rPr>
      </w:pPr>
      <w:r>
        <w:rPr/>
        <w:drawing>
          <wp:anchor distT="0" distB="0" distL="0" distR="0" allowOverlap="1" layoutInCell="1" locked="0" behindDoc="1" simplePos="0" relativeHeight="268340831">
            <wp:simplePos x="0" y="0"/>
            <wp:positionH relativeFrom="page">
              <wp:posOffset>3037865</wp:posOffset>
            </wp:positionH>
            <wp:positionV relativeFrom="paragraph">
              <wp:posOffset>796923</wp:posOffset>
            </wp:positionV>
            <wp:extent cx="1343736" cy="673760"/>
            <wp:effectExtent l="0" t="0" r="0" b="0"/>
            <wp:wrapNone/>
            <wp:docPr id="5" name="image5.png" descr=""/>
            <wp:cNvGraphicFramePr>
              <a:graphicFrameLocks noChangeAspect="1"/>
            </wp:cNvGraphicFramePr>
            <a:graphic>
              <a:graphicData uri="http://schemas.openxmlformats.org/drawingml/2006/picture">
                <pic:pic>
                  <pic:nvPicPr>
                    <pic:cNvPr id="6" name="image5.png"/>
                    <pic:cNvPicPr/>
                  </pic:nvPicPr>
                  <pic:blipFill>
                    <a:blip r:embed="rId11" cstate="print"/>
                    <a:stretch>
                      <a:fillRect/>
                    </a:stretch>
                  </pic:blipFill>
                  <pic:spPr>
                    <a:xfrm>
                      <a:off x="0" y="0"/>
                      <a:ext cx="1343736" cy="673760"/>
                    </a:xfrm>
                    <a:prstGeom prst="rect">
                      <a:avLst/>
                    </a:prstGeom>
                  </pic:spPr>
                </pic:pic>
              </a:graphicData>
            </a:graphic>
          </wp:anchor>
        </w:drawing>
      </w:r>
      <w:r>
        <w:rPr>
          <w:sz w:val="22"/>
          <w:u w:val="single"/>
        </w:rPr>
        <w:t>REQUEST FOR CHANGES</w:t>
      </w:r>
      <w:r>
        <w:rPr>
          <w:sz w:val="22"/>
        </w:rPr>
        <w:t>. Submit recommendations for TO improvements or corrections through the Engineering Change Proposal form in SILC's Configuration Management site on the CG</w:t>
      </w:r>
      <w:r>
        <w:rPr>
          <w:spacing w:val="-5"/>
          <w:sz w:val="22"/>
        </w:rPr>
        <w:t> </w:t>
      </w:r>
      <w:r>
        <w:rPr>
          <w:sz w:val="22"/>
        </w:rPr>
        <w:t>Portal.</w:t>
      </w:r>
    </w:p>
    <w:p>
      <w:pPr>
        <w:pStyle w:val="BodyText"/>
        <w:rPr>
          <w:sz w:val="24"/>
        </w:rPr>
      </w:pPr>
    </w:p>
    <w:p>
      <w:pPr>
        <w:pStyle w:val="BodyText"/>
        <w:rPr>
          <w:sz w:val="24"/>
        </w:rPr>
      </w:pPr>
    </w:p>
    <w:p>
      <w:pPr>
        <w:pStyle w:val="BodyText"/>
        <w:rPr>
          <w:sz w:val="24"/>
        </w:rPr>
      </w:pPr>
    </w:p>
    <w:p>
      <w:pPr>
        <w:pStyle w:val="BodyText"/>
        <w:rPr>
          <w:sz w:val="24"/>
        </w:rPr>
      </w:pPr>
    </w:p>
    <w:p>
      <w:pPr>
        <w:pStyle w:val="BodyText"/>
        <w:spacing w:line="278" w:lineRule="auto" w:before="148"/>
        <w:ind w:left="4289" w:right="3774" w:firstLine="43"/>
      </w:pPr>
      <w:r>
        <w:rPr/>
        <w:t>T. WADE GESELE Captain, U.S. Coast Guard</w:t>
      </w:r>
    </w:p>
    <w:p>
      <w:pPr>
        <w:spacing w:after="0" w:line="278" w:lineRule="auto"/>
        <w:sectPr>
          <w:pgSz w:w="12240" w:h="15840"/>
          <w:pgMar w:header="1012" w:footer="0" w:top="2000" w:bottom="280" w:left="860" w:right="680"/>
        </w:sectPr>
      </w:pPr>
    </w:p>
    <w:p>
      <w:pPr>
        <w:pStyle w:val="BodyText"/>
        <w:spacing w:before="2"/>
      </w:pPr>
    </w:p>
    <w:p>
      <w:pPr>
        <w:pStyle w:val="BodyText"/>
        <w:spacing w:line="20" w:lineRule="exact"/>
        <w:ind w:left="548"/>
        <w:rPr>
          <w:sz w:val="2"/>
        </w:rPr>
      </w:pPr>
      <w:r>
        <w:rPr>
          <w:sz w:val="2"/>
        </w:rPr>
        <w:pict>
          <v:group style="width:480pt;height:.25pt;mso-position-horizontal-relative:char;mso-position-vertical-relative:line" coordorigin="0,0" coordsize="9600,5">
            <v:line style="position:absolute" from="0,2" to="9600,2" stroked="true" strokeweight=".24001pt" strokecolor="#a6a6a6">
              <v:stroke dashstyle="solid"/>
            </v:line>
          </v:group>
        </w:pict>
      </w:r>
      <w:r>
        <w:rPr>
          <w:sz w:val="2"/>
        </w:rPr>
      </w:r>
    </w:p>
    <w:p>
      <w:pPr>
        <w:tabs>
          <w:tab w:pos="9602" w:val="left" w:leader="none"/>
        </w:tabs>
        <w:spacing w:before="4"/>
        <w:ind w:left="31" w:right="0" w:firstLine="0"/>
        <w:jc w:val="center"/>
        <w:rPr>
          <w:b/>
          <w:sz w:val="28"/>
        </w:rPr>
      </w:pPr>
      <w:r>
        <w:rPr>
          <w:b/>
          <w:sz w:val="28"/>
          <w:u w:val="single" w:color="A6A6A6"/>
        </w:rPr>
        <w:t>TABLE OF</w:t>
      </w:r>
      <w:r>
        <w:rPr>
          <w:b/>
          <w:spacing w:val="-9"/>
          <w:sz w:val="28"/>
          <w:u w:val="single" w:color="A6A6A6"/>
        </w:rPr>
        <w:t> </w:t>
      </w:r>
      <w:r>
        <w:rPr>
          <w:b/>
          <w:sz w:val="28"/>
          <w:u w:val="single" w:color="A6A6A6"/>
        </w:rPr>
        <w:t>CONTENTS</w:t>
        <w:tab/>
      </w:r>
    </w:p>
    <w:sdt>
      <w:sdtPr>
        <w:docPartObj>
          <w:docPartGallery w:val="Table of Contents"/>
          <w:docPartUnique/>
        </w:docPartObj>
      </w:sdtPr>
      <w:sdtEndPr/>
      <w:sdtContent>
        <w:p>
          <w:pPr>
            <w:pStyle w:val="TOC1"/>
            <w:numPr>
              <w:ilvl w:val="0"/>
              <w:numId w:val="3"/>
            </w:numPr>
            <w:tabs>
              <w:tab w:pos="1012" w:val="left" w:leader="none"/>
              <w:tab w:pos="1013" w:val="left" w:leader="none"/>
              <w:tab w:pos="9942" w:val="right" w:leader="dot"/>
            </w:tabs>
            <w:spacing w:line="240" w:lineRule="auto" w:before="144" w:after="0"/>
            <w:ind w:left="1012" w:right="0" w:hanging="432"/>
            <w:jc w:val="left"/>
          </w:pPr>
          <w:hyperlink w:history="true" w:anchor="_bookmark0">
            <w:r>
              <w:rPr/>
              <w:t>Overview</w:t>
              <w:tab/>
              <w:t>1</w:t>
            </w:r>
          </w:hyperlink>
        </w:p>
        <w:p>
          <w:pPr>
            <w:pStyle w:val="TOC2"/>
            <w:numPr>
              <w:ilvl w:val="1"/>
              <w:numId w:val="3"/>
            </w:numPr>
            <w:tabs>
              <w:tab w:pos="1300" w:val="left" w:leader="none"/>
              <w:tab w:pos="1301" w:val="left" w:leader="none"/>
              <w:tab w:pos="9933" w:val="right" w:leader="dot"/>
            </w:tabs>
            <w:spacing w:line="240" w:lineRule="auto" w:before="36" w:after="0"/>
            <w:ind w:left="1300" w:right="0" w:hanging="504"/>
            <w:jc w:val="left"/>
          </w:pPr>
          <w:hyperlink w:history="true" w:anchor="_bookmark1">
            <w:r>
              <w:rPr/>
              <w:t>Configuration</w:t>
            </w:r>
            <w:r>
              <w:rPr>
                <w:spacing w:val="-2"/>
              </w:rPr>
              <w:t> </w:t>
            </w:r>
            <w:r>
              <w:rPr/>
              <w:t>Standard</w:t>
            </w:r>
            <w:r>
              <w:rPr>
                <w:spacing w:val="1"/>
              </w:rPr>
              <w:t> </w:t>
            </w:r>
            <w:r>
              <w:rPr/>
              <w:t>Summary</w:t>
              <w:tab/>
              <w:t>1</w:t>
            </w:r>
          </w:hyperlink>
        </w:p>
        <w:p>
          <w:pPr>
            <w:pStyle w:val="TOC2"/>
            <w:numPr>
              <w:ilvl w:val="1"/>
              <w:numId w:val="3"/>
            </w:numPr>
            <w:tabs>
              <w:tab w:pos="1300" w:val="left" w:leader="none"/>
              <w:tab w:pos="1301" w:val="left" w:leader="none"/>
              <w:tab w:pos="9933" w:val="right" w:leader="dot"/>
            </w:tabs>
            <w:spacing w:line="240" w:lineRule="auto" w:before="37" w:after="0"/>
            <w:ind w:left="1300" w:right="0" w:hanging="504"/>
            <w:jc w:val="left"/>
          </w:pPr>
          <w:hyperlink w:history="true" w:anchor="_bookmark3">
            <w:r>
              <w:rPr/>
              <w:t>Advanced Meters vs Standard</w:t>
            </w:r>
            <w:r>
              <w:rPr>
                <w:spacing w:val="-1"/>
              </w:rPr>
              <w:t> </w:t>
            </w:r>
            <w:r>
              <w:rPr/>
              <w:t>Meters</w:t>
              <w:tab/>
              <w:t>2</w:t>
            </w:r>
          </w:hyperlink>
        </w:p>
        <w:p>
          <w:pPr>
            <w:pStyle w:val="TOC2"/>
            <w:numPr>
              <w:ilvl w:val="1"/>
              <w:numId w:val="3"/>
            </w:numPr>
            <w:tabs>
              <w:tab w:pos="1300" w:val="left" w:leader="none"/>
              <w:tab w:pos="1301" w:val="left" w:leader="none"/>
              <w:tab w:pos="9933" w:val="right" w:leader="dot"/>
            </w:tabs>
            <w:spacing w:line="240" w:lineRule="auto" w:before="34" w:after="0"/>
            <w:ind w:left="1300" w:right="0" w:hanging="504"/>
            <w:jc w:val="left"/>
          </w:pPr>
          <w:hyperlink w:history="true" w:anchor="_bookmark4">
            <w:r>
              <w:rPr/>
              <w:t>Applicability</w:t>
              <w:tab/>
              <w:t>2</w:t>
            </w:r>
          </w:hyperlink>
        </w:p>
        <w:p>
          <w:pPr>
            <w:pStyle w:val="TOC2"/>
            <w:numPr>
              <w:ilvl w:val="1"/>
              <w:numId w:val="3"/>
            </w:numPr>
            <w:tabs>
              <w:tab w:pos="1300" w:val="left" w:leader="none"/>
              <w:tab w:pos="1301" w:val="left" w:leader="none"/>
              <w:tab w:pos="9933" w:val="right" w:leader="dot"/>
            </w:tabs>
            <w:spacing w:line="240" w:lineRule="auto" w:before="34" w:after="0"/>
            <w:ind w:left="1300" w:right="0" w:hanging="504"/>
            <w:jc w:val="left"/>
          </w:pPr>
          <w:hyperlink w:history="true" w:anchor="_bookmark7">
            <w:r>
              <w:rPr/>
              <w:t>Roles</w:t>
            </w:r>
            <w:r>
              <w:rPr>
                <w:spacing w:val="1"/>
              </w:rPr>
              <w:t> </w:t>
            </w:r>
            <w:r>
              <w:rPr/>
              <w:t>and</w:t>
            </w:r>
            <w:r>
              <w:rPr>
                <w:spacing w:val="1"/>
              </w:rPr>
              <w:t> </w:t>
            </w:r>
            <w:r>
              <w:rPr/>
              <w:t>Responsibilities</w:t>
              <w:tab/>
              <w:t>3</w:t>
            </w:r>
          </w:hyperlink>
        </w:p>
        <w:p>
          <w:pPr>
            <w:pStyle w:val="TOC1"/>
            <w:numPr>
              <w:ilvl w:val="0"/>
              <w:numId w:val="3"/>
            </w:numPr>
            <w:tabs>
              <w:tab w:pos="1012" w:val="left" w:leader="none"/>
              <w:tab w:pos="1013" w:val="left" w:leader="none"/>
              <w:tab w:pos="9942" w:val="right" w:leader="dot"/>
            </w:tabs>
            <w:spacing w:line="240" w:lineRule="auto" w:before="151" w:after="0"/>
            <w:ind w:left="1012" w:right="0" w:hanging="432"/>
            <w:jc w:val="left"/>
          </w:pPr>
          <w:hyperlink w:history="true" w:anchor="_bookmark9">
            <w:r>
              <w:rPr/>
              <w:t>Advanced</w:t>
            </w:r>
            <w:r>
              <w:rPr>
                <w:spacing w:val="1"/>
              </w:rPr>
              <w:t> </w:t>
            </w:r>
            <w:r>
              <w:rPr/>
              <w:t>metering Selection</w:t>
              <w:tab/>
              <w:t>5</w:t>
            </w:r>
          </w:hyperlink>
        </w:p>
        <w:p>
          <w:pPr>
            <w:pStyle w:val="TOC2"/>
            <w:numPr>
              <w:ilvl w:val="1"/>
              <w:numId w:val="3"/>
            </w:numPr>
            <w:tabs>
              <w:tab w:pos="1300" w:val="left" w:leader="none"/>
              <w:tab w:pos="1301" w:val="left" w:leader="none"/>
              <w:tab w:pos="9933" w:val="right" w:leader="dot"/>
            </w:tabs>
            <w:spacing w:line="240" w:lineRule="auto" w:before="37" w:after="0"/>
            <w:ind w:left="1300" w:right="0" w:hanging="504"/>
            <w:jc w:val="left"/>
          </w:pPr>
          <w:hyperlink w:history="true" w:anchor="_bookmark10">
            <w:r>
              <w:rPr/>
              <w:t>Qualification</w:t>
              <w:tab/>
              <w:t>5</w:t>
            </w:r>
          </w:hyperlink>
        </w:p>
        <w:p>
          <w:pPr>
            <w:pStyle w:val="TOC2"/>
            <w:numPr>
              <w:ilvl w:val="1"/>
              <w:numId w:val="3"/>
            </w:numPr>
            <w:tabs>
              <w:tab w:pos="1300" w:val="left" w:leader="none"/>
              <w:tab w:pos="1301" w:val="left" w:leader="none"/>
              <w:tab w:pos="9933" w:val="right" w:leader="dot"/>
            </w:tabs>
            <w:spacing w:line="240" w:lineRule="auto" w:before="36" w:after="0"/>
            <w:ind w:left="1300" w:right="0" w:hanging="504"/>
            <w:jc w:val="left"/>
          </w:pPr>
          <w:hyperlink w:history="true" w:anchor="_bookmark14">
            <w:r>
              <w:rPr/>
              <w:t>Prioritization</w:t>
              <w:tab/>
              <w:t>8</w:t>
            </w:r>
          </w:hyperlink>
        </w:p>
        <w:p>
          <w:pPr>
            <w:pStyle w:val="TOC1"/>
            <w:numPr>
              <w:ilvl w:val="0"/>
              <w:numId w:val="3"/>
            </w:numPr>
            <w:tabs>
              <w:tab w:pos="1012" w:val="left" w:leader="none"/>
              <w:tab w:pos="1013" w:val="left" w:leader="none"/>
              <w:tab w:pos="9942" w:val="right" w:leader="dot"/>
            </w:tabs>
            <w:spacing w:line="240" w:lineRule="auto" w:before="152" w:after="0"/>
            <w:ind w:left="1012" w:right="0" w:hanging="432"/>
            <w:jc w:val="left"/>
          </w:pPr>
          <w:hyperlink w:history="true" w:anchor="_bookmark15">
            <w:r>
              <w:rPr/>
              <w:t>Technical</w:t>
            </w:r>
            <w:r>
              <w:rPr>
                <w:spacing w:val="-2"/>
              </w:rPr>
              <w:t> </w:t>
            </w:r>
            <w:r>
              <w:rPr/>
              <w:t>Requirements</w:t>
              <w:tab/>
              <w:t>9</w:t>
            </w:r>
          </w:hyperlink>
        </w:p>
        <w:p>
          <w:pPr>
            <w:pStyle w:val="TOC2"/>
            <w:numPr>
              <w:ilvl w:val="1"/>
              <w:numId w:val="3"/>
            </w:numPr>
            <w:tabs>
              <w:tab w:pos="1300" w:val="left" w:leader="none"/>
              <w:tab w:pos="1301" w:val="left" w:leader="none"/>
              <w:tab w:pos="9933" w:val="right" w:leader="dot"/>
            </w:tabs>
            <w:spacing w:line="240" w:lineRule="auto" w:before="36" w:after="0"/>
            <w:ind w:left="1300" w:right="0" w:hanging="504"/>
            <w:jc w:val="left"/>
          </w:pPr>
          <w:hyperlink w:history="true" w:anchor="_bookmark16">
            <w:r>
              <w:rPr/>
              <w:t>Organization</w:t>
              <w:tab/>
              <w:t>9</w:t>
            </w:r>
          </w:hyperlink>
        </w:p>
        <w:p>
          <w:pPr>
            <w:pStyle w:val="TOC2"/>
            <w:numPr>
              <w:ilvl w:val="1"/>
              <w:numId w:val="3"/>
            </w:numPr>
            <w:tabs>
              <w:tab w:pos="1300" w:val="left" w:leader="none"/>
              <w:tab w:pos="1301" w:val="left" w:leader="none"/>
              <w:tab w:pos="9933" w:val="right" w:leader="dot"/>
            </w:tabs>
            <w:spacing w:line="240" w:lineRule="auto" w:before="35" w:after="0"/>
            <w:ind w:left="1300" w:right="0" w:hanging="504"/>
            <w:jc w:val="left"/>
          </w:pPr>
          <w:hyperlink w:history="true" w:anchor="_bookmark17">
            <w:r>
              <w:rPr/>
              <w:t>Equipment</w:t>
            </w:r>
            <w:r>
              <w:rPr>
                <w:spacing w:val="-2"/>
              </w:rPr>
              <w:t> </w:t>
            </w:r>
            <w:r>
              <w:rPr/>
              <w:t>Requirements</w:t>
              <w:tab/>
              <w:t>9</w:t>
            </w:r>
          </w:hyperlink>
        </w:p>
        <w:p>
          <w:pPr>
            <w:pStyle w:val="TOC3"/>
            <w:numPr>
              <w:ilvl w:val="2"/>
              <w:numId w:val="3"/>
            </w:numPr>
            <w:tabs>
              <w:tab w:pos="1751" w:val="left" w:leader="none"/>
              <w:tab w:pos="1752" w:val="left" w:leader="none"/>
              <w:tab w:pos="9942" w:val="right" w:leader="dot"/>
            </w:tabs>
            <w:spacing w:line="240" w:lineRule="auto" w:before="34" w:after="0"/>
            <w:ind w:left="1751" w:right="0" w:hanging="725"/>
            <w:jc w:val="left"/>
          </w:pPr>
          <w:hyperlink w:history="true" w:anchor="_bookmark18">
            <w:r>
              <w:rPr/>
              <w:t>General Requirements</w:t>
              <w:tab/>
              <w:t>9</w:t>
            </w:r>
          </w:hyperlink>
        </w:p>
        <w:p>
          <w:pPr>
            <w:pStyle w:val="TOC3"/>
            <w:numPr>
              <w:ilvl w:val="2"/>
              <w:numId w:val="3"/>
            </w:numPr>
            <w:tabs>
              <w:tab w:pos="1751" w:val="left" w:leader="none"/>
              <w:tab w:pos="1752" w:val="left" w:leader="none"/>
              <w:tab w:pos="9942" w:val="right" w:leader="dot"/>
            </w:tabs>
            <w:spacing w:line="240" w:lineRule="auto" w:before="36" w:after="0"/>
            <w:ind w:left="1751" w:right="0" w:hanging="725"/>
            <w:jc w:val="left"/>
          </w:pPr>
          <w:hyperlink w:history="true" w:anchor="_bookmark19">
            <w:r>
              <w:rPr/>
              <w:t>Electrical Meters</w:t>
              <w:tab/>
              <w:t>9</w:t>
            </w:r>
          </w:hyperlink>
        </w:p>
        <w:p>
          <w:pPr>
            <w:pStyle w:val="TOC3"/>
            <w:numPr>
              <w:ilvl w:val="2"/>
              <w:numId w:val="3"/>
            </w:numPr>
            <w:tabs>
              <w:tab w:pos="1751" w:val="left" w:leader="none"/>
              <w:tab w:pos="1752" w:val="left" w:leader="none"/>
              <w:tab w:pos="9939" w:val="right" w:leader="dot"/>
            </w:tabs>
            <w:spacing w:line="240" w:lineRule="auto" w:before="34" w:after="0"/>
            <w:ind w:left="1751" w:right="0" w:hanging="725"/>
            <w:jc w:val="left"/>
          </w:pPr>
          <w:hyperlink w:history="true" w:anchor="_bookmark20">
            <w:r>
              <w:rPr/>
              <w:t>Natural Gas or</w:t>
            </w:r>
            <w:r>
              <w:rPr>
                <w:spacing w:val="-1"/>
              </w:rPr>
              <w:t> </w:t>
            </w:r>
            <w:r>
              <w:rPr/>
              <w:t>Propane</w:t>
            </w:r>
            <w:r>
              <w:rPr>
                <w:spacing w:val="1"/>
              </w:rPr>
              <w:t> </w:t>
            </w:r>
            <w:r>
              <w:rPr/>
              <w:t>Meters</w:t>
              <w:tab/>
              <w:t>10</w:t>
            </w:r>
          </w:hyperlink>
        </w:p>
        <w:p>
          <w:pPr>
            <w:pStyle w:val="TOC3"/>
            <w:numPr>
              <w:ilvl w:val="2"/>
              <w:numId w:val="3"/>
            </w:numPr>
            <w:tabs>
              <w:tab w:pos="1751" w:val="left" w:leader="none"/>
              <w:tab w:pos="1752" w:val="left" w:leader="none"/>
              <w:tab w:pos="9939" w:val="right" w:leader="dot"/>
            </w:tabs>
            <w:spacing w:line="240" w:lineRule="auto" w:before="34" w:after="0"/>
            <w:ind w:left="1751" w:right="0" w:hanging="725"/>
            <w:jc w:val="left"/>
          </w:pPr>
          <w:hyperlink w:history="true" w:anchor="_bookmark21">
            <w:r>
              <w:rPr/>
              <w:t>Water</w:t>
            </w:r>
            <w:r>
              <w:rPr>
                <w:spacing w:val="-2"/>
              </w:rPr>
              <w:t> </w:t>
            </w:r>
            <w:r>
              <w:rPr/>
              <w:t>Meters</w:t>
              <w:tab/>
              <w:t>11</w:t>
            </w:r>
          </w:hyperlink>
        </w:p>
        <w:p>
          <w:pPr>
            <w:pStyle w:val="TOC3"/>
            <w:numPr>
              <w:ilvl w:val="2"/>
              <w:numId w:val="3"/>
            </w:numPr>
            <w:tabs>
              <w:tab w:pos="1751" w:val="left" w:leader="none"/>
              <w:tab w:pos="1752" w:val="left" w:leader="none"/>
              <w:tab w:pos="9939" w:val="right" w:leader="dot"/>
            </w:tabs>
            <w:spacing w:line="240" w:lineRule="auto" w:before="34" w:after="0"/>
            <w:ind w:left="1751" w:right="0" w:hanging="725"/>
            <w:jc w:val="left"/>
          </w:pPr>
          <w:hyperlink w:history="true" w:anchor="_bookmark22">
            <w:r>
              <w:rPr/>
              <w:t>Data Acquisition</w:t>
            </w:r>
            <w:r>
              <w:rPr>
                <w:spacing w:val="1"/>
              </w:rPr>
              <w:t> </w:t>
            </w:r>
            <w:r>
              <w:rPr/>
              <w:t>Servers</w:t>
              <w:tab/>
              <w:t>14</w:t>
            </w:r>
          </w:hyperlink>
        </w:p>
        <w:p>
          <w:pPr>
            <w:pStyle w:val="TOC3"/>
            <w:numPr>
              <w:ilvl w:val="2"/>
              <w:numId w:val="3"/>
            </w:numPr>
            <w:tabs>
              <w:tab w:pos="1751" w:val="left" w:leader="none"/>
              <w:tab w:pos="1752" w:val="left" w:leader="none"/>
              <w:tab w:pos="9939" w:val="right" w:leader="dot"/>
            </w:tabs>
            <w:spacing w:line="240" w:lineRule="auto" w:before="34" w:after="0"/>
            <w:ind w:left="1751" w:right="0" w:hanging="725"/>
            <w:jc w:val="left"/>
          </w:pPr>
          <w:hyperlink w:history="true" w:anchor="_bookmark24">
            <w:r>
              <w:rPr/>
              <w:t>Transceivers</w:t>
              <w:tab/>
              <w:t>15</w:t>
            </w:r>
          </w:hyperlink>
        </w:p>
        <w:p>
          <w:pPr>
            <w:pStyle w:val="TOC2"/>
            <w:numPr>
              <w:ilvl w:val="1"/>
              <w:numId w:val="3"/>
            </w:numPr>
            <w:tabs>
              <w:tab w:pos="1300" w:val="left" w:leader="none"/>
              <w:tab w:pos="1301" w:val="left" w:leader="none"/>
              <w:tab w:pos="9930" w:val="right" w:leader="dot"/>
            </w:tabs>
            <w:spacing w:line="240" w:lineRule="auto" w:before="37" w:after="0"/>
            <w:ind w:left="1300" w:right="0" w:hanging="504"/>
            <w:jc w:val="left"/>
          </w:pPr>
          <w:hyperlink w:history="true" w:anchor="_bookmark25">
            <w:r>
              <w:rPr/>
              <w:t>Data Communications</w:t>
            </w:r>
            <w:r>
              <w:rPr>
                <w:spacing w:val="-2"/>
              </w:rPr>
              <w:t> </w:t>
            </w:r>
            <w:r>
              <w:rPr/>
              <w:t>and</w:t>
            </w:r>
            <w:r>
              <w:rPr>
                <w:spacing w:val="1"/>
              </w:rPr>
              <w:t> </w:t>
            </w:r>
            <w:r>
              <w:rPr/>
              <w:t>Configuration</w:t>
              <w:tab/>
              <w:t>16</w:t>
            </w:r>
          </w:hyperlink>
        </w:p>
        <w:p>
          <w:pPr>
            <w:pStyle w:val="TOC3"/>
            <w:numPr>
              <w:ilvl w:val="2"/>
              <w:numId w:val="3"/>
            </w:numPr>
            <w:tabs>
              <w:tab w:pos="1751" w:val="left" w:leader="none"/>
              <w:tab w:pos="1752" w:val="left" w:leader="none"/>
              <w:tab w:pos="9939" w:val="right" w:leader="dot"/>
            </w:tabs>
            <w:spacing w:line="240" w:lineRule="auto" w:before="34" w:after="0"/>
            <w:ind w:left="1751" w:right="0" w:hanging="725"/>
            <w:jc w:val="left"/>
          </w:pPr>
          <w:hyperlink w:history="true" w:anchor="_bookmark27">
            <w:r>
              <w:rPr/>
              <w:t>Data</w:t>
            </w:r>
            <w:r>
              <w:rPr>
                <w:spacing w:val="-2"/>
              </w:rPr>
              <w:t> </w:t>
            </w:r>
            <w:r>
              <w:rPr/>
              <w:t>Communications</w:t>
              <w:tab/>
              <w:t>16</w:t>
            </w:r>
          </w:hyperlink>
        </w:p>
        <w:p>
          <w:pPr>
            <w:pStyle w:val="TOC3"/>
            <w:numPr>
              <w:ilvl w:val="2"/>
              <w:numId w:val="3"/>
            </w:numPr>
            <w:tabs>
              <w:tab w:pos="1751" w:val="left" w:leader="none"/>
              <w:tab w:pos="1752" w:val="left" w:leader="none"/>
              <w:tab w:pos="9939" w:val="right" w:leader="dot"/>
            </w:tabs>
            <w:spacing w:line="240" w:lineRule="auto" w:before="34" w:after="0"/>
            <w:ind w:left="1751" w:right="0" w:hanging="725"/>
            <w:jc w:val="left"/>
          </w:pPr>
          <w:hyperlink w:history="true" w:anchor="_bookmark29">
            <w:r>
              <w:rPr/>
              <w:t>Key</w:t>
            </w:r>
            <w:r>
              <w:rPr>
                <w:spacing w:val="-5"/>
              </w:rPr>
              <w:t> </w:t>
            </w:r>
            <w:r>
              <w:rPr/>
              <w:t>Data</w:t>
            </w:r>
            <w:r>
              <w:rPr>
                <w:spacing w:val="-1"/>
              </w:rPr>
              <w:t> </w:t>
            </w:r>
            <w:r>
              <w:rPr/>
              <w:t>Fields</w:t>
              <w:tab/>
              <w:t>17</w:t>
            </w:r>
          </w:hyperlink>
        </w:p>
        <w:p>
          <w:pPr>
            <w:pStyle w:val="TOC3"/>
            <w:numPr>
              <w:ilvl w:val="2"/>
              <w:numId w:val="3"/>
            </w:numPr>
            <w:tabs>
              <w:tab w:pos="1751" w:val="left" w:leader="none"/>
              <w:tab w:pos="1752" w:val="left" w:leader="none"/>
              <w:tab w:pos="9939" w:val="right" w:leader="dot"/>
            </w:tabs>
            <w:spacing w:line="240" w:lineRule="auto" w:before="34" w:after="0"/>
            <w:ind w:left="1751" w:right="0" w:hanging="725"/>
            <w:jc w:val="left"/>
          </w:pPr>
          <w:hyperlink w:history="true" w:anchor="_bookmark30">
            <w:r>
              <w:rPr/>
              <w:t>Recording</w:t>
            </w:r>
            <w:r>
              <w:rPr>
                <w:spacing w:val="-2"/>
              </w:rPr>
              <w:t> </w:t>
            </w:r>
            <w:r>
              <w:rPr/>
              <w:t>Intervals</w:t>
              <w:tab/>
              <w:t>19</w:t>
            </w:r>
          </w:hyperlink>
        </w:p>
        <w:p>
          <w:pPr>
            <w:pStyle w:val="TOC1"/>
            <w:numPr>
              <w:ilvl w:val="0"/>
              <w:numId w:val="3"/>
            </w:numPr>
            <w:tabs>
              <w:tab w:pos="1012" w:val="left" w:leader="none"/>
              <w:tab w:pos="1013" w:val="left" w:leader="none"/>
              <w:tab w:pos="9939" w:val="right" w:leader="dot"/>
            </w:tabs>
            <w:spacing w:line="240" w:lineRule="auto" w:before="152" w:after="0"/>
            <w:ind w:left="1012" w:right="0" w:hanging="432"/>
            <w:jc w:val="left"/>
          </w:pPr>
          <w:hyperlink w:history="true" w:anchor="_bookmark31">
            <w:r>
              <w:rPr/>
              <w:t>EXECUTION</w:t>
              <w:tab/>
              <w:t>20</w:t>
            </w:r>
          </w:hyperlink>
        </w:p>
        <w:p>
          <w:pPr>
            <w:pStyle w:val="TOC2"/>
            <w:numPr>
              <w:ilvl w:val="1"/>
              <w:numId w:val="3"/>
            </w:numPr>
            <w:tabs>
              <w:tab w:pos="1300" w:val="left" w:leader="none"/>
              <w:tab w:pos="1301" w:val="left" w:leader="none"/>
              <w:tab w:pos="9930" w:val="right" w:leader="dot"/>
            </w:tabs>
            <w:spacing w:line="240" w:lineRule="auto" w:before="38" w:after="0"/>
            <w:ind w:left="1300" w:right="0" w:hanging="504"/>
            <w:jc w:val="left"/>
          </w:pPr>
          <w:hyperlink w:history="true" w:anchor="_bookmark32">
            <w:r>
              <w:rPr/>
              <w:t>Installation</w:t>
            </w:r>
            <w:r>
              <w:rPr>
                <w:spacing w:val="1"/>
              </w:rPr>
              <w:t> </w:t>
            </w:r>
            <w:r>
              <w:rPr/>
              <w:t>and</w:t>
            </w:r>
            <w:r>
              <w:rPr>
                <w:spacing w:val="-1"/>
              </w:rPr>
              <w:t> </w:t>
            </w:r>
            <w:r>
              <w:rPr/>
              <w:t>Commissioning</w:t>
              <w:tab/>
              <w:t>20</w:t>
            </w:r>
          </w:hyperlink>
        </w:p>
        <w:p>
          <w:pPr>
            <w:pStyle w:val="TOC3"/>
            <w:numPr>
              <w:ilvl w:val="2"/>
              <w:numId w:val="3"/>
            </w:numPr>
            <w:tabs>
              <w:tab w:pos="1751" w:val="left" w:leader="none"/>
              <w:tab w:pos="1752" w:val="left" w:leader="none"/>
              <w:tab w:pos="9939" w:val="right" w:leader="dot"/>
            </w:tabs>
            <w:spacing w:line="240" w:lineRule="auto" w:before="35" w:after="0"/>
            <w:ind w:left="1751" w:right="0" w:hanging="725"/>
            <w:jc w:val="left"/>
          </w:pPr>
          <w:hyperlink w:history="true" w:anchor="_bookmark33">
            <w:r>
              <w:rPr/>
              <w:t>Meters</w:t>
              <w:tab/>
              <w:t>21</w:t>
            </w:r>
          </w:hyperlink>
        </w:p>
        <w:p>
          <w:pPr>
            <w:pStyle w:val="TOC3"/>
            <w:numPr>
              <w:ilvl w:val="2"/>
              <w:numId w:val="3"/>
            </w:numPr>
            <w:tabs>
              <w:tab w:pos="1751" w:val="left" w:leader="none"/>
              <w:tab w:pos="1752" w:val="left" w:leader="none"/>
              <w:tab w:pos="9939" w:val="right" w:leader="dot"/>
            </w:tabs>
            <w:spacing w:line="240" w:lineRule="auto" w:before="34" w:after="0"/>
            <w:ind w:left="1751" w:right="0" w:hanging="725"/>
            <w:jc w:val="left"/>
          </w:pPr>
          <w:hyperlink w:history="true" w:anchor="_bookmark34">
            <w:r>
              <w:rPr/>
              <w:t>Data Acquisition</w:t>
            </w:r>
            <w:r>
              <w:rPr>
                <w:spacing w:val="1"/>
              </w:rPr>
              <w:t> </w:t>
            </w:r>
            <w:r>
              <w:rPr/>
              <w:t>Servers</w:t>
            </w:r>
            <w:r>
              <w:rPr>
                <w:spacing w:val="1"/>
              </w:rPr>
              <w:t> </w:t>
            </w:r>
            <w:r>
              <w:rPr/>
              <w:t>(DAS)</w:t>
              <w:tab/>
              <w:t>22</w:t>
            </w:r>
          </w:hyperlink>
        </w:p>
        <w:p>
          <w:pPr>
            <w:pStyle w:val="TOC3"/>
            <w:numPr>
              <w:ilvl w:val="2"/>
              <w:numId w:val="3"/>
            </w:numPr>
            <w:tabs>
              <w:tab w:pos="1751" w:val="left" w:leader="none"/>
              <w:tab w:pos="1752" w:val="left" w:leader="none"/>
              <w:tab w:pos="9939" w:val="right" w:leader="dot"/>
            </w:tabs>
            <w:spacing w:line="240" w:lineRule="auto" w:before="34" w:after="0"/>
            <w:ind w:left="1751" w:right="0" w:hanging="725"/>
            <w:jc w:val="left"/>
          </w:pPr>
          <w:hyperlink w:history="true" w:anchor="_bookmark35">
            <w:r>
              <w:rPr/>
              <w:t>Transceivers</w:t>
              <w:tab/>
              <w:t>22</w:t>
            </w:r>
          </w:hyperlink>
        </w:p>
        <w:p>
          <w:pPr>
            <w:pStyle w:val="TOC2"/>
            <w:numPr>
              <w:ilvl w:val="1"/>
              <w:numId w:val="3"/>
            </w:numPr>
            <w:tabs>
              <w:tab w:pos="1300" w:val="left" w:leader="none"/>
              <w:tab w:pos="1301" w:val="left" w:leader="none"/>
              <w:tab w:pos="9930" w:val="right" w:leader="dot"/>
            </w:tabs>
            <w:spacing w:line="240" w:lineRule="auto" w:before="34" w:after="0"/>
            <w:ind w:left="1300" w:right="0" w:hanging="504"/>
            <w:jc w:val="left"/>
          </w:pPr>
          <w:hyperlink w:history="true" w:anchor="_bookmark36">
            <w:r>
              <w:rPr/>
              <w:t>Submittals</w:t>
              <w:tab/>
              <w:t>23</w:t>
            </w:r>
          </w:hyperlink>
        </w:p>
        <w:p>
          <w:pPr>
            <w:pStyle w:val="TOC2"/>
            <w:numPr>
              <w:ilvl w:val="1"/>
              <w:numId w:val="3"/>
            </w:numPr>
            <w:tabs>
              <w:tab w:pos="1300" w:val="left" w:leader="none"/>
              <w:tab w:pos="1301" w:val="left" w:leader="none"/>
              <w:tab w:pos="9930" w:val="right" w:leader="dot"/>
            </w:tabs>
            <w:spacing w:line="240" w:lineRule="auto" w:before="36" w:after="0"/>
            <w:ind w:left="1300" w:right="0" w:hanging="504"/>
            <w:jc w:val="left"/>
          </w:pPr>
          <w:hyperlink w:history="true" w:anchor="_bookmark37">
            <w:r>
              <w:rPr/>
              <w:t>Maintenance</w:t>
              <w:tab/>
              <w:t>24</w:t>
            </w:r>
          </w:hyperlink>
        </w:p>
        <w:p>
          <w:pPr>
            <w:pStyle w:val="TOC1"/>
            <w:numPr>
              <w:ilvl w:val="0"/>
              <w:numId w:val="3"/>
            </w:numPr>
            <w:tabs>
              <w:tab w:pos="1012" w:val="left" w:leader="none"/>
              <w:tab w:pos="1013" w:val="left" w:leader="none"/>
              <w:tab w:pos="9939" w:val="right" w:leader="dot"/>
            </w:tabs>
            <w:spacing w:line="240" w:lineRule="auto" w:before="152" w:after="0"/>
            <w:ind w:left="1012" w:right="0" w:hanging="432"/>
            <w:jc w:val="left"/>
          </w:pPr>
          <w:hyperlink w:history="true" w:anchor="_bookmark38">
            <w:r>
              <w:rPr/>
              <w:t>References</w:t>
              <w:tab/>
              <w:t>26</w:t>
            </w:r>
          </w:hyperlink>
        </w:p>
        <w:p>
          <w:pPr>
            <w:pStyle w:val="TOC2"/>
            <w:numPr>
              <w:ilvl w:val="1"/>
              <w:numId w:val="3"/>
            </w:numPr>
            <w:tabs>
              <w:tab w:pos="1300" w:val="left" w:leader="none"/>
              <w:tab w:pos="1301" w:val="left" w:leader="none"/>
              <w:tab w:pos="9930" w:val="right" w:leader="dot"/>
            </w:tabs>
            <w:spacing w:line="240" w:lineRule="auto" w:before="36" w:after="0"/>
            <w:ind w:left="1300" w:right="0" w:hanging="504"/>
            <w:jc w:val="left"/>
          </w:pPr>
          <w:hyperlink w:history="true" w:anchor="_bookmark39">
            <w:r>
              <w:rPr/>
              <w:t>Process</w:t>
            </w:r>
            <w:r>
              <w:rPr>
                <w:spacing w:val="-1"/>
              </w:rPr>
              <w:t> </w:t>
            </w:r>
            <w:r>
              <w:rPr/>
              <w:t>Relationships</w:t>
              <w:tab/>
              <w:t>26</w:t>
            </w:r>
          </w:hyperlink>
        </w:p>
        <w:p>
          <w:pPr>
            <w:pStyle w:val="TOC2"/>
            <w:numPr>
              <w:ilvl w:val="1"/>
              <w:numId w:val="3"/>
            </w:numPr>
            <w:tabs>
              <w:tab w:pos="1300" w:val="left" w:leader="none"/>
              <w:tab w:pos="1301" w:val="left" w:leader="none"/>
              <w:tab w:pos="9930" w:val="right" w:leader="dot"/>
            </w:tabs>
            <w:spacing w:line="240" w:lineRule="auto" w:before="34" w:after="0"/>
            <w:ind w:left="1300" w:right="0" w:hanging="504"/>
            <w:jc w:val="left"/>
          </w:pPr>
          <w:hyperlink w:history="true" w:anchor="_bookmark40">
            <w:r>
              <w:rPr/>
              <w:t>Referenced</w:t>
            </w:r>
            <w:r>
              <w:rPr>
                <w:spacing w:val="-2"/>
              </w:rPr>
              <w:t> </w:t>
            </w:r>
            <w:r>
              <w:rPr/>
              <w:t>Documents</w:t>
              <w:tab/>
              <w:t>26</w:t>
            </w:r>
          </w:hyperlink>
        </w:p>
        <w:p>
          <w:pPr>
            <w:pStyle w:val="TOC1"/>
            <w:numPr>
              <w:ilvl w:val="0"/>
              <w:numId w:val="3"/>
            </w:numPr>
            <w:tabs>
              <w:tab w:pos="1012" w:val="left" w:leader="none"/>
              <w:tab w:pos="1013" w:val="left" w:leader="none"/>
              <w:tab w:pos="9939" w:val="right" w:leader="dot"/>
            </w:tabs>
            <w:spacing w:line="240" w:lineRule="auto" w:before="152" w:after="0"/>
            <w:ind w:left="1012" w:right="0" w:hanging="432"/>
            <w:jc w:val="left"/>
          </w:pPr>
          <w:hyperlink w:history="true" w:anchor="_bookmark41">
            <w:r>
              <w:rPr/>
              <w:t>Definitions</w:t>
              <w:tab/>
              <w:t>29</w:t>
            </w:r>
          </w:hyperlink>
        </w:p>
      </w:sdtContent>
    </w:sdt>
    <w:p>
      <w:pPr>
        <w:spacing w:before="156"/>
        <w:ind w:left="580" w:right="0" w:firstLine="0"/>
        <w:jc w:val="left"/>
        <w:rPr>
          <w:b/>
          <w:sz w:val="20"/>
        </w:rPr>
      </w:pPr>
      <w:hyperlink w:history="true" w:anchor="_bookmark44">
        <w:r>
          <w:rPr>
            <w:b/>
            <w:sz w:val="20"/>
          </w:rPr>
          <w:t>Appendix</w:t>
        </w:r>
        <w:r>
          <w:rPr>
            <w:b/>
            <w:spacing w:val="-20"/>
            <w:sz w:val="20"/>
          </w:rPr>
          <w:t> </w:t>
        </w:r>
        <w:r>
          <w:rPr>
            <w:b/>
            <w:sz w:val="20"/>
          </w:rPr>
          <w:t>A</w:t>
        </w:r>
        <w:r>
          <w:rPr>
            <w:b/>
            <w:spacing w:val="-23"/>
            <w:sz w:val="20"/>
          </w:rPr>
          <w:t> </w:t>
        </w:r>
        <w:r>
          <w:rPr>
            <w:b/>
            <w:sz w:val="20"/>
          </w:rPr>
          <w:t>–</w:t>
        </w:r>
        <w:r>
          <w:rPr>
            <w:b/>
            <w:spacing w:val="-21"/>
            <w:sz w:val="20"/>
          </w:rPr>
          <w:t> </w:t>
        </w:r>
        <w:r>
          <w:rPr>
            <w:b/>
            <w:sz w:val="20"/>
          </w:rPr>
          <w:t>Business</w:t>
        </w:r>
        <w:r>
          <w:rPr>
            <w:b/>
            <w:spacing w:val="-21"/>
            <w:sz w:val="20"/>
          </w:rPr>
          <w:t> </w:t>
        </w:r>
        <w:r>
          <w:rPr>
            <w:b/>
            <w:sz w:val="20"/>
          </w:rPr>
          <w:t>Case</w:t>
        </w:r>
        <w:r>
          <w:rPr>
            <w:b/>
            <w:spacing w:val="-20"/>
            <w:sz w:val="20"/>
          </w:rPr>
          <w:t> </w:t>
        </w:r>
        <w:r>
          <w:rPr>
            <w:b/>
            <w:sz w:val="20"/>
          </w:rPr>
          <w:t>Analysis.................................................................................................</w:t>
        </w:r>
        <w:r>
          <w:rPr>
            <w:b/>
            <w:spacing w:val="-28"/>
            <w:sz w:val="20"/>
          </w:rPr>
          <w:t> </w:t>
        </w:r>
        <w:r>
          <w:rPr>
            <w:b/>
            <w:sz w:val="20"/>
          </w:rPr>
          <w:t>A-1</w:t>
        </w:r>
      </w:hyperlink>
    </w:p>
    <w:p>
      <w:pPr>
        <w:spacing w:before="154"/>
        <w:ind w:left="580" w:right="0" w:firstLine="0"/>
        <w:jc w:val="left"/>
        <w:rPr>
          <w:b/>
          <w:sz w:val="20"/>
        </w:rPr>
      </w:pPr>
      <w:hyperlink w:history="true" w:anchor="_bookmark45">
        <w:r>
          <w:rPr>
            <w:b/>
            <w:sz w:val="20"/>
          </w:rPr>
          <w:t>Appendix</w:t>
        </w:r>
        <w:r>
          <w:rPr>
            <w:b/>
            <w:spacing w:val="-13"/>
            <w:sz w:val="20"/>
          </w:rPr>
          <w:t> </w:t>
        </w:r>
        <w:r>
          <w:rPr>
            <w:b/>
            <w:sz w:val="20"/>
          </w:rPr>
          <w:t>B</w:t>
        </w:r>
        <w:r>
          <w:rPr>
            <w:b/>
            <w:spacing w:val="-10"/>
            <w:sz w:val="20"/>
          </w:rPr>
          <w:t> </w:t>
        </w:r>
        <w:r>
          <w:rPr>
            <w:b/>
            <w:sz w:val="20"/>
          </w:rPr>
          <w:t>–</w:t>
        </w:r>
        <w:r>
          <w:rPr>
            <w:b/>
            <w:spacing w:val="-13"/>
            <w:sz w:val="20"/>
          </w:rPr>
          <w:t> </w:t>
        </w:r>
        <w:r>
          <w:rPr>
            <w:b/>
            <w:sz w:val="20"/>
          </w:rPr>
          <w:t>Data</w:t>
        </w:r>
        <w:r>
          <w:rPr>
            <w:b/>
            <w:spacing w:val="-9"/>
            <w:sz w:val="20"/>
          </w:rPr>
          <w:t> </w:t>
        </w:r>
        <w:r>
          <w:rPr>
            <w:b/>
            <w:sz w:val="20"/>
          </w:rPr>
          <w:t>Acquisition</w:t>
        </w:r>
        <w:r>
          <w:rPr>
            <w:b/>
            <w:spacing w:val="-12"/>
            <w:sz w:val="20"/>
          </w:rPr>
          <w:t> </w:t>
        </w:r>
        <w:r>
          <w:rPr>
            <w:b/>
            <w:sz w:val="20"/>
          </w:rPr>
          <w:t>Server</w:t>
        </w:r>
        <w:r>
          <w:rPr>
            <w:b/>
            <w:spacing w:val="-13"/>
            <w:sz w:val="20"/>
          </w:rPr>
          <w:t> </w:t>
        </w:r>
        <w:r>
          <w:rPr>
            <w:b/>
            <w:sz w:val="20"/>
          </w:rPr>
          <w:t>(DAS)</w:t>
        </w:r>
        <w:r>
          <w:rPr>
            <w:b/>
            <w:spacing w:val="-11"/>
            <w:sz w:val="20"/>
          </w:rPr>
          <w:t> </w:t>
        </w:r>
        <w:r>
          <w:rPr>
            <w:b/>
            <w:sz w:val="20"/>
          </w:rPr>
          <w:t>Specifications</w:t>
        </w:r>
        <w:r>
          <w:rPr>
            <w:b/>
            <w:spacing w:val="-40"/>
            <w:sz w:val="20"/>
          </w:rPr>
          <w:t> </w:t>
        </w:r>
        <w:r>
          <w:rPr>
            <w:b/>
            <w:sz w:val="20"/>
          </w:rPr>
          <w:t>.............................................................</w:t>
        </w:r>
        <w:r>
          <w:rPr>
            <w:b/>
            <w:spacing w:val="-19"/>
            <w:sz w:val="20"/>
          </w:rPr>
          <w:t> </w:t>
        </w:r>
        <w:r>
          <w:rPr>
            <w:b/>
            <w:sz w:val="20"/>
          </w:rPr>
          <w:t>B-1</w:t>
        </w:r>
      </w:hyperlink>
    </w:p>
    <w:p>
      <w:pPr>
        <w:spacing w:before="155"/>
        <w:ind w:left="580" w:right="0" w:firstLine="0"/>
        <w:jc w:val="left"/>
        <w:rPr>
          <w:b/>
          <w:sz w:val="20"/>
        </w:rPr>
      </w:pPr>
      <w:hyperlink w:history="true" w:anchor="_bookmark46">
        <w:r>
          <w:rPr>
            <w:b/>
            <w:sz w:val="20"/>
          </w:rPr>
          <w:t>Appendix</w:t>
        </w:r>
        <w:r>
          <w:rPr>
            <w:b/>
            <w:spacing w:val="-18"/>
            <w:sz w:val="20"/>
          </w:rPr>
          <w:t> </w:t>
        </w:r>
        <w:r>
          <w:rPr>
            <w:b/>
            <w:sz w:val="20"/>
          </w:rPr>
          <w:t>C</w:t>
        </w:r>
        <w:r>
          <w:rPr>
            <w:b/>
            <w:spacing w:val="-15"/>
            <w:sz w:val="20"/>
          </w:rPr>
          <w:t> </w:t>
        </w:r>
        <w:r>
          <w:rPr>
            <w:b/>
            <w:sz w:val="20"/>
          </w:rPr>
          <w:t>–</w:t>
        </w:r>
        <w:r>
          <w:rPr>
            <w:b/>
            <w:spacing w:val="-17"/>
            <w:sz w:val="20"/>
          </w:rPr>
          <w:t> </w:t>
        </w:r>
        <w:r>
          <w:rPr>
            <w:b/>
            <w:sz w:val="20"/>
          </w:rPr>
          <w:t>Wireless</w:t>
        </w:r>
        <w:r>
          <w:rPr>
            <w:b/>
            <w:spacing w:val="-16"/>
            <w:sz w:val="20"/>
          </w:rPr>
          <w:t> </w:t>
        </w:r>
        <w:r>
          <w:rPr>
            <w:b/>
            <w:sz w:val="20"/>
          </w:rPr>
          <w:t>ModBus/Pulse</w:t>
        </w:r>
        <w:r>
          <w:rPr>
            <w:b/>
            <w:spacing w:val="-17"/>
            <w:sz w:val="20"/>
          </w:rPr>
          <w:t> </w:t>
        </w:r>
        <w:r>
          <w:rPr>
            <w:b/>
            <w:sz w:val="20"/>
          </w:rPr>
          <w:t>Transceiver</w:t>
        </w:r>
        <w:r>
          <w:rPr>
            <w:b/>
            <w:spacing w:val="-32"/>
            <w:sz w:val="20"/>
          </w:rPr>
          <w:t> </w:t>
        </w:r>
        <w:r>
          <w:rPr>
            <w:b/>
            <w:sz w:val="20"/>
          </w:rPr>
          <w:t>............................................................................</w:t>
        </w:r>
        <w:r>
          <w:rPr>
            <w:b/>
            <w:spacing w:val="-23"/>
            <w:sz w:val="20"/>
          </w:rPr>
          <w:t> </w:t>
        </w:r>
        <w:r>
          <w:rPr>
            <w:b/>
            <w:sz w:val="20"/>
          </w:rPr>
          <w:t>C-1</w:t>
        </w:r>
      </w:hyperlink>
    </w:p>
    <w:p>
      <w:pPr>
        <w:spacing w:line="400" w:lineRule="auto" w:before="154"/>
        <w:ind w:left="580" w:right="0" w:firstLine="0"/>
        <w:jc w:val="left"/>
        <w:rPr>
          <w:b/>
          <w:sz w:val="20"/>
        </w:rPr>
      </w:pPr>
      <w:hyperlink w:history="true" w:anchor="_bookmark47">
        <w:r>
          <w:rPr>
            <w:b/>
            <w:sz w:val="20"/>
          </w:rPr>
          <w:t>Appendix</w:t>
        </w:r>
        <w:r>
          <w:rPr>
            <w:b/>
            <w:spacing w:val="-11"/>
            <w:sz w:val="20"/>
          </w:rPr>
          <w:t> </w:t>
        </w:r>
        <w:r>
          <w:rPr>
            <w:b/>
            <w:sz w:val="20"/>
          </w:rPr>
          <w:t>D</w:t>
        </w:r>
        <w:r>
          <w:rPr>
            <w:b/>
            <w:spacing w:val="-7"/>
            <w:sz w:val="20"/>
          </w:rPr>
          <w:t> </w:t>
        </w:r>
        <w:r>
          <w:rPr>
            <w:b/>
            <w:sz w:val="20"/>
          </w:rPr>
          <w:t>–</w:t>
        </w:r>
        <w:r>
          <w:rPr>
            <w:b/>
            <w:spacing w:val="-11"/>
            <w:sz w:val="20"/>
          </w:rPr>
          <w:t> </w:t>
        </w:r>
        <w:r>
          <w:rPr>
            <w:b/>
            <w:sz w:val="20"/>
          </w:rPr>
          <w:t>SAMPLE</w:t>
        </w:r>
        <w:r>
          <w:rPr>
            <w:b/>
            <w:spacing w:val="-10"/>
            <w:sz w:val="20"/>
          </w:rPr>
          <w:t> </w:t>
        </w:r>
        <w:r>
          <w:rPr>
            <w:b/>
            <w:sz w:val="20"/>
          </w:rPr>
          <w:t>Justification</w:t>
        </w:r>
        <w:r>
          <w:rPr>
            <w:b/>
            <w:spacing w:val="-9"/>
            <w:sz w:val="20"/>
          </w:rPr>
          <w:t> </w:t>
        </w:r>
        <w:r>
          <w:rPr>
            <w:b/>
            <w:sz w:val="20"/>
          </w:rPr>
          <w:t>and</w:t>
        </w:r>
        <w:r>
          <w:rPr>
            <w:b/>
            <w:spacing w:val="-6"/>
            <w:sz w:val="20"/>
          </w:rPr>
          <w:t> </w:t>
        </w:r>
        <w:r>
          <w:rPr>
            <w:b/>
            <w:sz w:val="20"/>
          </w:rPr>
          <w:t>Accountability</w:t>
        </w:r>
        <w:r>
          <w:rPr>
            <w:b/>
            <w:spacing w:val="-12"/>
            <w:sz w:val="20"/>
          </w:rPr>
          <w:t> </w:t>
        </w:r>
        <w:r>
          <w:rPr>
            <w:b/>
            <w:sz w:val="20"/>
          </w:rPr>
          <w:t>(J&amp;A)</w:t>
        </w:r>
        <w:r>
          <w:rPr>
            <w:b/>
            <w:spacing w:val="-40"/>
            <w:sz w:val="20"/>
          </w:rPr>
          <w:t> </w:t>
        </w:r>
        <w:r>
          <w:rPr>
            <w:b/>
            <w:sz w:val="20"/>
          </w:rPr>
          <w:t>.........................................................</w:t>
        </w:r>
        <w:r>
          <w:rPr>
            <w:b/>
            <w:spacing w:val="-17"/>
            <w:sz w:val="20"/>
          </w:rPr>
          <w:t> </w:t>
        </w:r>
        <w:r>
          <w:rPr>
            <w:b/>
            <w:sz w:val="20"/>
          </w:rPr>
          <w:t>D-1</w:t>
        </w:r>
      </w:hyperlink>
      <w:r>
        <w:rPr>
          <w:b/>
          <w:sz w:val="20"/>
        </w:rPr>
        <w:t> </w:t>
      </w:r>
      <w:hyperlink w:history="true" w:anchor="_bookmark48">
        <w:r>
          <w:rPr>
            <w:b/>
            <w:sz w:val="20"/>
          </w:rPr>
          <w:t>Appendix</w:t>
        </w:r>
        <w:r>
          <w:rPr>
            <w:b/>
            <w:spacing w:val="-21"/>
            <w:sz w:val="20"/>
          </w:rPr>
          <w:t> </w:t>
        </w:r>
        <w:r>
          <w:rPr>
            <w:b/>
            <w:sz w:val="20"/>
          </w:rPr>
          <w:t>E</w:t>
        </w:r>
        <w:r>
          <w:rPr>
            <w:b/>
            <w:spacing w:val="-19"/>
            <w:sz w:val="20"/>
          </w:rPr>
          <w:t> </w:t>
        </w:r>
        <w:r>
          <w:rPr>
            <w:b/>
            <w:sz w:val="20"/>
          </w:rPr>
          <w:t>–</w:t>
        </w:r>
        <w:r>
          <w:rPr>
            <w:b/>
            <w:spacing w:val="-20"/>
            <w:sz w:val="20"/>
          </w:rPr>
          <w:t> </w:t>
        </w:r>
        <w:r>
          <w:rPr>
            <w:b/>
            <w:sz w:val="20"/>
          </w:rPr>
          <w:t>Sample</w:t>
        </w:r>
        <w:r>
          <w:rPr>
            <w:b/>
            <w:spacing w:val="-20"/>
            <w:sz w:val="20"/>
          </w:rPr>
          <w:t> </w:t>
        </w:r>
        <w:r>
          <w:rPr>
            <w:b/>
            <w:sz w:val="20"/>
          </w:rPr>
          <w:t>Statement</w:t>
        </w:r>
        <w:r>
          <w:rPr>
            <w:b/>
            <w:spacing w:val="-19"/>
            <w:sz w:val="20"/>
          </w:rPr>
          <w:t> </w:t>
        </w:r>
        <w:r>
          <w:rPr>
            <w:b/>
            <w:sz w:val="20"/>
          </w:rPr>
          <w:t>of</w:t>
        </w:r>
        <w:r>
          <w:rPr>
            <w:b/>
            <w:spacing w:val="-20"/>
            <w:sz w:val="20"/>
          </w:rPr>
          <w:t> </w:t>
        </w:r>
        <w:r>
          <w:rPr>
            <w:b/>
            <w:sz w:val="20"/>
          </w:rPr>
          <w:t>Work..............................................................................................E-1</w:t>
        </w:r>
      </w:hyperlink>
    </w:p>
    <w:p>
      <w:pPr>
        <w:spacing w:before="2"/>
        <w:ind w:left="580" w:right="0" w:firstLine="0"/>
        <w:jc w:val="left"/>
        <w:rPr>
          <w:b/>
          <w:sz w:val="20"/>
        </w:rPr>
      </w:pPr>
      <w:hyperlink w:history="true" w:anchor="_bookmark49">
        <w:r>
          <w:rPr>
            <w:b/>
            <w:sz w:val="20"/>
          </w:rPr>
          <w:t>Appendix</w:t>
        </w:r>
        <w:r>
          <w:rPr>
            <w:b/>
            <w:spacing w:val="-10"/>
            <w:sz w:val="20"/>
          </w:rPr>
          <w:t> </w:t>
        </w:r>
        <w:r>
          <w:rPr>
            <w:b/>
            <w:sz w:val="20"/>
          </w:rPr>
          <w:t>F</w:t>
        </w:r>
        <w:r>
          <w:rPr>
            <w:b/>
            <w:spacing w:val="-8"/>
            <w:sz w:val="20"/>
          </w:rPr>
          <w:t> </w:t>
        </w:r>
        <w:r>
          <w:rPr>
            <w:b/>
            <w:sz w:val="20"/>
          </w:rPr>
          <w:t>–</w:t>
        </w:r>
        <w:r>
          <w:rPr>
            <w:b/>
            <w:spacing w:val="-6"/>
            <w:sz w:val="20"/>
          </w:rPr>
          <w:t> </w:t>
        </w:r>
        <w:r>
          <w:rPr>
            <w:b/>
            <w:sz w:val="20"/>
          </w:rPr>
          <w:t>Advanced</w:t>
        </w:r>
        <w:r>
          <w:rPr>
            <w:b/>
            <w:spacing w:val="-6"/>
            <w:sz w:val="20"/>
          </w:rPr>
          <w:t> </w:t>
        </w:r>
        <w:r>
          <w:rPr>
            <w:b/>
            <w:sz w:val="20"/>
          </w:rPr>
          <w:t>Metering</w:t>
        </w:r>
        <w:r>
          <w:rPr>
            <w:b/>
            <w:spacing w:val="-9"/>
            <w:sz w:val="20"/>
          </w:rPr>
          <w:t> </w:t>
        </w:r>
        <w:r>
          <w:rPr>
            <w:b/>
            <w:sz w:val="20"/>
          </w:rPr>
          <w:t>Equipment</w:t>
        </w:r>
        <w:r>
          <w:rPr>
            <w:b/>
            <w:spacing w:val="-9"/>
            <w:sz w:val="20"/>
          </w:rPr>
          <w:t> </w:t>
        </w:r>
        <w:r>
          <w:rPr>
            <w:b/>
            <w:sz w:val="20"/>
          </w:rPr>
          <w:t>Naming</w:t>
        </w:r>
        <w:r>
          <w:rPr>
            <w:b/>
            <w:spacing w:val="-8"/>
            <w:sz w:val="20"/>
          </w:rPr>
          <w:t> </w:t>
        </w:r>
        <w:r>
          <w:rPr>
            <w:b/>
            <w:sz w:val="20"/>
          </w:rPr>
          <w:t>Convention</w:t>
        </w:r>
        <w:r>
          <w:rPr>
            <w:b/>
            <w:spacing w:val="-16"/>
            <w:sz w:val="20"/>
          </w:rPr>
          <w:t> </w:t>
        </w:r>
        <w:r>
          <w:rPr>
            <w:b/>
            <w:sz w:val="20"/>
          </w:rPr>
          <w:t>...................................................F-1</w:t>
        </w:r>
      </w:hyperlink>
    </w:p>
    <w:p>
      <w:pPr>
        <w:spacing w:after="0"/>
        <w:jc w:val="left"/>
        <w:rPr>
          <w:sz w:val="20"/>
        </w:rPr>
        <w:sectPr>
          <w:headerReference w:type="default" r:id="rId12"/>
          <w:footerReference w:type="default" r:id="rId13"/>
          <w:pgSz w:w="12240" w:h="15840"/>
          <w:pgMar w:header="724" w:footer="766" w:top="1220" w:bottom="960" w:left="860" w:right="680"/>
        </w:sectPr>
      </w:pPr>
    </w:p>
    <w:p>
      <w:pPr>
        <w:pStyle w:val="BodyText"/>
        <w:spacing w:before="10"/>
        <w:rPr>
          <w:b/>
          <w:sz w:val="18"/>
        </w:rPr>
      </w:pP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Heading1"/>
        <w:numPr>
          <w:ilvl w:val="0"/>
          <w:numId w:val="4"/>
        </w:numPr>
        <w:tabs>
          <w:tab w:pos="1012" w:val="left" w:leader="none"/>
          <w:tab w:pos="1013" w:val="left" w:leader="none"/>
        </w:tabs>
        <w:spacing w:line="240" w:lineRule="auto" w:before="8" w:after="22"/>
        <w:ind w:left="1012" w:right="0" w:hanging="432"/>
        <w:jc w:val="left"/>
      </w:pPr>
      <w:bookmarkStart w:name="_bookmark0" w:id="1"/>
      <w:bookmarkEnd w:id="1"/>
      <w:r>
        <w:rPr>
          <w:b w:val="0"/>
        </w:rPr>
      </w:r>
      <w:bookmarkStart w:name="_bookmark0" w:id="2"/>
      <w:bookmarkEnd w:id="2"/>
      <w:r>
        <w:rPr/>
        <w:t>OVE</w:t>
      </w:r>
      <w:r>
        <w:rPr/>
        <w:t>RVIEW</w:t>
      </w: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Heading2"/>
        <w:numPr>
          <w:ilvl w:val="1"/>
          <w:numId w:val="4"/>
        </w:numPr>
        <w:tabs>
          <w:tab w:pos="1156" w:val="left" w:leader="none"/>
          <w:tab w:pos="1157" w:val="left" w:leader="none"/>
        </w:tabs>
        <w:spacing w:line="240" w:lineRule="auto" w:before="228" w:after="0"/>
        <w:ind w:left="1156" w:right="0" w:hanging="576"/>
        <w:jc w:val="left"/>
      </w:pPr>
      <w:bookmarkStart w:name="_bookmark1" w:id="3"/>
      <w:bookmarkEnd w:id="3"/>
      <w:r>
        <w:rPr>
          <w:b w:val="0"/>
        </w:rPr>
      </w:r>
      <w:bookmarkStart w:name="_bookmark1" w:id="4"/>
      <w:bookmarkEnd w:id="4"/>
      <w:r>
        <w:rPr/>
        <w:t>Configu</w:t>
      </w:r>
      <w:r>
        <w:rPr/>
        <w:t>ration Standard</w:t>
      </w:r>
      <w:r>
        <w:rPr>
          <w:spacing w:val="-3"/>
        </w:rPr>
        <w:t> </w:t>
      </w:r>
      <w:r>
        <w:rPr/>
        <w:t>Summary</w:t>
      </w:r>
    </w:p>
    <w:p>
      <w:pPr>
        <w:pStyle w:val="BodyText"/>
        <w:spacing w:line="276" w:lineRule="auto" w:before="120"/>
        <w:ind w:left="580" w:right="830"/>
      </w:pPr>
      <w:r>
        <w:rPr/>
        <w:t>The Energy Policy Act of 2005 (EPAct) and the Energy Independence and Security Act of 2007 (EISA 2007) require metering of electricity, natural gas, propane, potable water, and non- potable water utility consumption at the building level for all federal facilities meeting thresholds as established by the Federal Energy Management Program (FEMP). Furthermore, the information (data) collected from the metering shall comply with the mandated benchmarking and reporting requirements for optimizing and reducing energy consumption in accordance with these federal mandates.</w:t>
      </w:r>
    </w:p>
    <w:p>
      <w:pPr>
        <w:pStyle w:val="BodyText"/>
        <w:spacing w:line="276" w:lineRule="auto" w:before="119"/>
        <w:ind w:left="580" w:right="770"/>
      </w:pPr>
      <w:r>
        <w:rPr/>
        <w:t>This CSTO will outline the specific considerations of Advanced Meters, which exist within the context of a larger Energy Management Program. This program includes interactions between CG-46 and the Shore Infrastructure Logistics Center Engineering Services Division, Energy Branch (SILC – ESD-Energy), Engineer Officers, Engineer Petty Officers (EPOs), Facility Engineers (FEs), Design Engineers and all other Coast Guard personnel who manage or monitor energy consumption and make use of the collected information. </w:t>
      </w:r>
      <w:hyperlink w:history="true" w:anchor="_bookmark2">
        <w:r>
          <w:rPr/>
          <w:t>Figure 1 </w:t>
        </w:r>
      </w:hyperlink>
      <w:r>
        <w:rPr/>
        <w:t>shows the wider context of those relationships, while </w:t>
      </w:r>
      <w:hyperlink w:history="true" w:anchor="_bookmark8">
        <w:r>
          <w:rPr/>
          <w:t>Table 1-3 </w:t>
        </w:r>
      </w:hyperlink>
      <w:r>
        <w:rPr/>
        <w:t>shows the roles and responsibilities as they pertain to this CSTO.</w:t>
      </w:r>
    </w:p>
    <w:p>
      <w:pPr>
        <w:pStyle w:val="BodyText"/>
        <w:rPr>
          <w:sz w:val="20"/>
        </w:rPr>
      </w:pPr>
    </w:p>
    <w:p>
      <w:pPr>
        <w:pStyle w:val="BodyText"/>
        <w:spacing w:before="2"/>
        <w:rPr>
          <w:sz w:val="21"/>
        </w:rPr>
      </w:pPr>
    </w:p>
    <w:tbl>
      <w:tblPr>
        <w:tblW w:w="0" w:type="auto"/>
        <w:jc w:val="left"/>
        <w:tblInd w:w="145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top w:w="0" w:type="dxa"/>
          <w:left w:w="0" w:type="dxa"/>
          <w:bottom w:w="0" w:type="dxa"/>
          <w:right w:w="0" w:type="dxa"/>
        </w:tblCellMar>
        <w:tblLook w:val="01E0"/>
      </w:tblPr>
      <w:tblGrid>
        <w:gridCol w:w="1143"/>
        <w:gridCol w:w="1080"/>
        <w:gridCol w:w="912"/>
        <w:gridCol w:w="1061"/>
        <w:gridCol w:w="1149"/>
        <w:gridCol w:w="1142"/>
        <w:gridCol w:w="1139"/>
      </w:tblGrid>
      <w:tr>
        <w:trPr>
          <w:trHeight w:val="583" w:hRule="atLeast"/>
        </w:trPr>
        <w:tc>
          <w:tcPr>
            <w:tcW w:w="7626" w:type="dxa"/>
            <w:gridSpan w:val="7"/>
            <w:tcBorders>
              <w:top w:val="nil"/>
              <w:left w:val="nil"/>
              <w:right w:val="nil"/>
            </w:tcBorders>
            <w:shd w:val="clear" w:color="auto" w:fill="4F81BC"/>
          </w:tcPr>
          <w:p>
            <w:pPr>
              <w:pStyle w:val="TableParagraph"/>
              <w:spacing w:before="114"/>
              <w:ind w:left="2537"/>
              <w:rPr>
                <w:b/>
                <w:sz w:val="18"/>
              </w:rPr>
            </w:pPr>
            <w:r>
              <w:rPr>
                <w:b/>
                <w:color w:val="FFFFFF"/>
                <w:sz w:val="18"/>
              </w:rPr>
              <w:t>AMI Program Responsibilities</w:t>
            </w:r>
          </w:p>
        </w:tc>
      </w:tr>
      <w:tr>
        <w:trPr>
          <w:trHeight w:val="1082" w:hRule="atLeast"/>
        </w:trPr>
        <w:tc>
          <w:tcPr>
            <w:tcW w:w="1143" w:type="dxa"/>
            <w:tcBorders>
              <w:left w:val="nil"/>
              <w:bottom w:val="single" w:sz="8" w:space="0" w:color="FFFFFF"/>
              <w:right w:val="single" w:sz="8" w:space="0" w:color="FFFFFF"/>
            </w:tcBorders>
            <w:shd w:val="clear" w:color="auto" w:fill="D0D7E8"/>
          </w:tcPr>
          <w:p>
            <w:pPr>
              <w:pStyle w:val="TableParagraph"/>
              <w:spacing w:line="207" w:lineRule="exact" w:before="172"/>
              <w:ind w:left="148"/>
              <w:rPr>
                <w:b/>
                <w:sz w:val="18"/>
              </w:rPr>
            </w:pPr>
            <w:r>
              <w:rPr>
                <w:b/>
                <w:sz w:val="18"/>
              </w:rPr>
              <w:t>SILC ESD</w:t>
            </w:r>
          </w:p>
          <w:p>
            <w:pPr>
              <w:pStyle w:val="TableParagraph"/>
              <w:spacing w:before="0"/>
              <w:ind w:left="254" w:right="255" w:firstLine="6"/>
              <w:jc w:val="center"/>
              <w:rPr>
                <w:b/>
                <w:sz w:val="18"/>
              </w:rPr>
            </w:pPr>
            <w:r>
              <w:rPr>
                <w:b/>
                <w:sz w:val="18"/>
              </w:rPr>
              <w:t>Energy Branch</w:t>
            </w:r>
          </w:p>
        </w:tc>
        <w:tc>
          <w:tcPr>
            <w:tcW w:w="1080" w:type="dxa"/>
            <w:tcBorders>
              <w:left w:val="single" w:sz="8" w:space="0" w:color="FFFFFF"/>
              <w:bottom w:val="single" w:sz="8" w:space="0" w:color="FFFFFF"/>
              <w:right w:val="single" w:sz="8" w:space="0" w:color="FFFFFF"/>
            </w:tcBorders>
            <w:shd w:val="clear" w:color="auto" w:fill="D0D7E8"/>
          </w:tcPr>
          <w:p>
            <w:pPr>
              <w:pStyle w:val="TableParagraph"/>
              <w:spacing w:before="0"/>
              <w:ind w:left="0"/>
              <w:rPr>
                <w:sz w:val="20"/>
              </w:rPr>
            </w:pPr>
          </w:p>
          <w:p>
            <w:pPr>
              <w:pStyle w:val="TableParagraph"/>
              <w:spacing w:before="149"/>
              <w:ind w:left="100"/>
              <w:rPr>
                <w:b/>
                <w:sz w:val="18"/>
              </w:rPr>
            </w:pPr>
            <w:r>
              <w:rPr>
                <w:b/>
                <w:sz w:val="18"/>
              </w:rPr>
              <w:t>SILC BOD</w:t>
            </w:r>
          </w:p>
        </w:tc>
        <w:tc>
          <w:tcPr>
            <w:tcW w:w="912" w:type="dxa"/>
            <w:tcBorders>
              <w:left w:val="single" w:sz="8" w:space="0" w:color="FFFFFF"/>
              <w:bottom w:val="single" w:sz="8" w:space="0" w:color="FFFFFF"/>
              <w:right w:val="single" w:sz="8" w:space="0" w:color="FFFFFF"/>
            </w:tcBorders>
            <w:shd w:val="clear" w:color="auto" w:fill="D0D7E8"/>
          </w:tcPr>
          <w:p>
            <w:pPr>
              <w:pStyle w:val="TableParagraph"/>
              <w:spacing w:before="0"/>
              <w:ind w:left="0"/>
              <w:rPr>
                <w:sz w:val="20"/>
              </w:rPr>
            </w:pPr>
          </w:p>
          <w:p>
            <w:pPr>
              <w:pStyle w:val="TableParagraph"/>
              <w:spacing w:before="149"/>
              <w:ind w:left="230"/>
              <w:rPr>
                <w:b/>
                <w:sz w:val="18"/>
              </w:rPr>
            </w:pPr>
            <w:r>
              <w:rPr>
                <w:b/>
                <w:sz w:val="18"/>
              </w:rPr>
              <w:t>CG-6</w:t>
            </w:r>
          </w:p>
        </w:tc>
        <w:tc>
          <w:tcPr>
            <w:tcW w:w="1061" w:type="dxa"/>
            <w:tcBorders>
              <w:left w:val="single" w:sz="8" w:space="0" w:color="FFFFFF"/>
              <w:bottom w:val="single" w:sz="8" w:space="0" w:color="FFFFFF"/>
              <w:right w:val="single" w:sz="8" w:space="0" w:color="FFFFFF"/>
            </w:tcBorders>
            <w:shd w:val="clear" w:color="auto" w:fill="D0D7E8"/>
          </w:tcPr>
          <w:p>
            <w:pPr>
              <w:pStyle w:val="TableParagraph"/>
              <w:spacing w:before="0"/>
              <w:ind w:left="0"/>
              <w:rPr>
                <w:sz w:val="20"/>
              </w:rPr>
            </w:pPr>
          </w:p>
          <w:p>
            <w:pPr>
              <w:pStyle w:val="TableParagraph"/>
              <w:spacing w:before="149"/>
              <w:ind w:left="189"/>
              <w:rPr>
                <w:b/>
                <w:sz w:val="18"/>
              </w:rPr>
            </w:pPr>
            <w:r>
              <w:rPr>
                <w:b/>
                <w:sz w:val="18"/>
              </w:rPr>
              <w:t>FE/EPO</w:t>
            </w:r>
          </w:p>
        </w:tc>
        <w:tc>
          <w:tcPr>
            <w:tcW w:w="1149" w:type="dxa"/>
            <w:tcBorders>
              <w:left w:val="single" w:sz="8" w:space="0" w:color="FFFFFF"/>
              <w:bottom w:val="single" w:sz="8" w:space="0" w:color="FFFFFF"/>
              <w:right w:val="single" w:sz="8" w:space="0" w:color="FFFFFF"/>
            </w:tcBorders>
            <w:shd w:val="clear" w:color="auto" w:fill="D0D7E8"/>
          </w:tcPr>
          <w:p>
            <w:pPr>
              <w:pStyle w:val="TableParagraph"/>
              <w:spacing w:before="0"/>
              <w:ind w:left="0"/>
              <w:rPr>
                <w:sz w:val="20"/>
              </w:rPr>
            </w:pPr>
          </w:p>
          <w:p>
            <w:pPr>
              <w:pStyle w:val="TableParagraph"/>
              <w:spacing w:before="149"/>
              <w:ind w:left="299"/>
              <w:rPr>
                <w:b/>
                <w:sz w:val="18"/>
              </w:rPr>
            </w:pPr>
            <w:r>
              <w:rPr>
                <w:b/>
                <w:sz w:val="18"/>
              </w:rPr>
              <w:t>CG-46</w:t>
            </w:r>
          </w:p>
        </w:tc>
        <w:tc>
          <w:tcPr>
            <w:tcW w:w="1142" w:type="dxa"/>
            <w:tcBorders>
              <w:left w:val="single" w:sz="8" w:space="0" w:color="FFFFFF"/>
              <w:bottom w:val="single" w:sz="8" w:space="0" w:color="FFFFFF"/>
              <w:right w:val="single" w:sz="8" w:space="0" w:color="FFFFFF"/>
            </w:tcBorders>
            <w:shd w:val="clear" w:color="auto" w:fill="D0D7E8"/>
          </w:tcPr>
          <w:p>
            <w:pPr>
              <w:pStyle w:val="TableParagraph"/>
              <w:spacing w:before="9"/>
              <w:ind w:left="176" w:right="171" w:hanging="3"/>
              <w:jc w:val="center"/>
              <w:rPr>
                <w:b/>
                <w:sz w:val="18"/>
              </w:rPr>
            </w:pPr>
            <w:r>
              <w:rPr>
                <w:b/>
                <w:sz w:val="18"/>
              </w:rPr>
              <w:t>Design Engineer</w:t>
            </w:r>
          </w:p>
          <w:p>
            <w:pPr>
              <w:pStyle w:val="TableParagraph"/>
              <w:spacing w:before="119"/>
              <w:ind w:left="65" w:right="66" w:firstLine="1"/>
              <w:jc w:val="center"/>
              <w:rPr>
                <w:b/>
                <w:sz w:val="18"/>
              </w:rPr>
            </w:pPr>
            <w:r>
              <w:rPr>
                <w:b/>
                <w:sz w:val="18"/>
              </w:rPr>
              <w:t>(FD&amp;CC, CEU,HQFE)</w:t>
            </w:r>
          </w:p>
        </w:tc>
        <w:tc>
          <w:tcPr>
            <w:tcW w:w="1139" w:type="dxa"/>
            <w:tcBorders>
              <w:left w:val="single" w:sz="8" w:space="0" w:color="FFFFFF"/>
              <w:bottom w:val="single" w:sz="8" w:space="0" w:color="FFFFFF"/>
              <w:right w:val="nil"/>
            </w:tcBorders>
            <w:shd w:val="clear" w:color="auto" w:fill="D0D7E8"/>
          </w:tcPr>
          <w:p>
            <w:pPr>
              <w:pStyle w:val="TableParagraph"/>
              <w:spacing w:before="11"/>
              <w:ind w:left="0"/>
              <w:rPr>
                <w:sz w:val="23"/>
              </w:rPr>
            </w:pPr>
          </w:p>
          <w:p>
            <w:pPr>
              <w:pStyle w:val="TableParagraph"/>
              <w:spacing w:line="207" w:lineRule="exact" w:before="0"/>
              <w:ind w:left="4"/>
              <w:jc w:val="center"/>
              <w:rPr>
                <w:b/>
                <w:sz w:val="18"/>
              </w:rPr>
            </w:pPr>
            <w:r>
              <w:rPr>
                <w:b/>
                <w:sz w:val="18"/>
              </w:rPr>
              <w:t>SILC</w:t>
            </w:r>
          </w:p>
          <w:p>
            <w:pPr>
              <w:pStyle w:val="TableParagraph"/>
              <w:spacing w:line="207" w:lineRule="exact" w:before="0"/>
              <w:ind w:left="2"/>
              <w:jc w:val="center"/>
              <w:rPr>
                <w:b/>
                <w:sz w:val="18"/>
              </w:rPr>
            </w:pPr>
            <w:r>
              <w:rPr>
                <w:b/>
                <w:sz w:val="18"/>
              </w:rPr>
              <w:t>Product Line</w:t>
            </w:r>
          </w:p>
        </w:tc>
      </w:tr>
      <w:tr>
        <w:trPr>
          <w:trHeight w:val="1170" w:hRule="atLeast"/>
        </w:trPr>
        <w:tc>
          <w:tcPr>
            <w:tcW w:w="1143" w:type="dxa"/>
            <w:tcBorders>
              <w:top w:val="single" w:sz="8" w:space="0" w:color="FFFFFF"/>
              <w:left w:val="nil"/>
              <w:bottom w:val="single" w:sz="8" w:space="0" w:color="FFFFFF"/>
              <w:right w:val="single" w:sz="8" w:space="0" w:color="FFFFFF"/>
            </w:tcBorders>
            <w:shd w:val="clear" w:color="auto" w:fill="E9ECF4"/>
          </w:tcPr>
          <w:p>
            <w:pPr>
              <w:pStyle w:val="TableParagraph"/>
              <w:spacing w:before="3"/>
              <w:ind w:left="0"/>
              <w:rPr>
                <w:sz w:val="19"/>
              </w:rPr>
            </w:pPr>
          </w:p>
          <w:p>
            <w:pPr>
              <w:pStyle w:val="TableParagraph"/>
              <w:spacing w:before="0"/>
              <w:ind w:left="38" w:right="40"/>
              <w:jc w:val="center"/>
              <w:rPr>
                <w:sz w:val="18"/>
              </w:rPr>
            </w:pPr>
            <w:r>
              <w:rPr>
                <w:sz w:val="18"/>
              </w:rPr>
              <w:t>Provide EDMS</w:t>
            </w:r>
          </w:p>
          <w:p>
            <w:pPr>
              <w:pStyle w:val="TableParagraph"/>
              <w:spacing w:line="206" w:lineRule="exact" w:before="0"/>
              <w:ind w:left="0"/>
              <w:jc w:val="center"/>
              <w:rPr>
                <w:sz w:val="18"/>
              </w:rPr>
            </w:pPr>
            <w:r>
              <w:rPr>
                <w:sz w:val="18"/>
              </w:rPr>
              <w:t>Requirements</w:t>
            </w:r>
          </w:p>
        </w:tc>
        <w:tc>
          <w:tcPr>
            <w:tcW w:w="1080" w:type="dxa"/>
            <w:tcBorders>
              <w:top w:val="single" w:sz="8" w:space="0" w:color="FFFFFF"/>
              <w:left w:val="single" w:sz="8" w:space="0" w:color="FFFFFF"/>
              <w:bottom w:val="single" w:sz="8" w:space="0" w:color="FFFFFF"/>
              <w:right w:val="single" w:sz="8" w:space="0" w:color="FFFFFF"/>
            </w:tcBorders>
            <w:shd w:val="clear" w:color="auto" w:fill="E9ECF4"/>
          </w:tcPr>
          <w:p>
            <w:pPr>
              <w:pStyle w:val="TableParagraph"/>
              <w:spacing w:before="13"/>
              <w:ind w:left="54" w:right="54" w:firstLine="1"/>
              <w:jc w:val="center"/>
              <w:rPr>
                <w:sz w:val="18"/>
              </w:rPr>
            </w:pPr>
            <w:r>
              <w:rPr>
                <w:sz w:val="18"/>
              </w:rPr>
              <w:t>Collaborate on    EDMS/Data Acquisition Interface</w:t>
            </w:r>
          </w:p>
        </w:tc>
        <w:tc>
          <w:tcPr>
            <w:tcW w:w="912" w:type="dxa"/>
            <w:tcBorders>
              <w:top w:val="single" w:sz="8" w:space="0" w:color="FFFFFF"/>
              <w:left w:val="single" w:sz="8" w:space="0" w:color="FFFFFF"/>
              <w:bottom w:val="single" w:sz="8" w:space="0" w:color="FFFFFF"/>
              <w:right w:val="single" w:sz="8" w:space="0" w:color="FFFFFF"/>
            </w:tcBorders>
            <w:shd w:val="clear" w:color="auto" w:fill="E9ECF4"/>
          </w:tcPr>
          <w:p>
            <w:pPr>
              <w:pStyle w:val="TableParagraph"/>
              <w:spacing w:before="118"/>
              <w:ind w:left="126" w:right="130"/>
              <w:jc w:val="center"/>
              <w:rPr>
                <w:sz w:val="18"/>
              </w:rPr>
            </w:pPr>
            <w:r>
              <w:rPr>
                <w:sz w:val="18"/>
              </w:rPr>
              <w:t>Support EDMS</w:t>
            </w:r>
          </w:p>
          <w:p>
            <w:pPr>
              <w:pStyle w:val="TableParagraph"/>
              <w:spacing w:before="0"/>
              <w:ind w:left="4" w:right="4" w:hanging="1"/>
              <w:jc w:val="center"/>
              <w:rPr>
                <w:sz w:val="18"/>
              </w:rPr>
            </w:pPr>
            <w:r>
              <w:rPr>
                <w:sz w:val="18"/>
              </w:rPr>
              <w:t>Server Application</w:t>
            </w:r>
          </w:p>
        </w:tc>
        <w:tc>
          <w:tcPr>
            <w:tcW w:w="1061" w:type="dxa"/>
            <w:tcBorders>
              <w:top w:val="single" w:sz="8" w:space="0" w:color="FFFFFF"/>
              <w:left w:val="single" w:sz="8" w:space="0" w:color="FFFFFF"/>
              <w:bottom w:val="single" w:sz="8" w:space="0" w:color="FFFFFF"/>
              <w:right w:val="single" w:sz="8" w:space="0" w:color="FFFFFF"/>
            </w:tcBorders>
            <w:shd w:val="clear" w:color="auto" w:fill="E9ECF4"/>
          </w:tcPr>
          <w:p>
            <w:pPr>
              <w:pStyle w:val="TableParagraph"/>
              <w:spacing w:before="118"/>
              <w:ind w:left="4" w:right="3" w:hanging="2"/>
              <w:jc w:val="center"/>
              <w:rPr>
                <w:sz w:val="18"/>
              </w:rPr>
            </w:pPr>
            <w:r>
              <w:rPr>
                <w:sz w:val="18"/>
              </w:rPr>
              <w:t>Provide Guidance for AMI</w:t>
            </w:r>
          </w:p>
          <w:p>
            <w:pPr>
              <w:pStyle w:val="TableParagraph"/>
              <w:spacing w:line="205" w:lineRule="exact" w:before="0"/>
              <w:ind w:left="70" w:right="70"/>
              <w:jc w:val="center"/>
              <w:rPr>
                <w:sz w:val="18"/>
              </w:rPr>
            </w:pPr>
            <w:r>
              <w:rPr>
                <w:sz w:val="18"/>
              </w:rPr>
              <w:t>Installation</w:t>
            </w:r>
          </w:p>
        </w:tc>
        <w:tc>
          <w:tcPr>
            <w:tcW w:w="1149" w:type="dxa"/>
            <w:tcBorders>
              <w:top w:val="single" w:sz="8" w:space="0" w:color="FFFFFF"/>
              <w:left w:val="single" w:sz="8" w:space="0" w:color="FFFFFF"/>
              <w:bottom w:val="single" w:sz="8" w:space="0" w:color="FFFFFF"/>
              <w:right w:val="single" w:sz="8" w:space="0" w:color="FFFFFF"/>
            </w:tcBorders>
            <w:shd w:val="clear" w:color="auto" w:fill="E9ECF4"/>
          </w:tcPr>
          <w:p>
            <w:pPr>
              <w:pStyle w:val="TableParagraph"/>
              <w:spacing w:before="3"/>
              <w:ind w:left="0"/>
              <w:rPr>
                <w:sz w:val="19"/>
              </w:rPr>
            </w:pPr>
          </w:p>
          <w:p>
            <w:pPr>
              <w:pStyle w:val="TableParagraph"/>
              <w:spacing w:before="0"/>
              <w:ind w:left="4" w:right="1" w:hanging="2"/>
              <w:jc w:val="center"/>
              <w:rPr>
                <w:sz w:val="18"/>
              </w:rPr>
            </w:pPr>
            <w:r>
              <w:rPr>
                <w:sz w:val="18"/>
              </w:rPr>
              <w:t>Provide Energy Requirements</w:t>
            </w:r>
          </w:p>
        </w:tc>
        <w:tc>
          <w:tcPr>
            <w:tcW w:w="1142" w:type="dxa"/>
            <w:tcBorders>
              <w:top w:val="single" w:sz="8" w:space="0" w:color="FFFFFF"/>
              <w:left w:val="single" w:sz="8" w:space="0" w:color="FFFFFF"/>
              <w:bottom w:val="single" w:sz="8" w:space="0" w:color="FFFFFF"/>
              <w:right w:val="single" w:sz="8" w:space="0" w:color="FFFFFF"/>
            </w:tcBorders>
            <w:shd w:val="clear" w:color="auto" w:fill="E9ECF4"/>
          </w:tcPr>
          <w:p>
            <w:pPr>
              <w:pStyle w:val="TableParagraph"/>
              <w:spacing w:before="118"/>
              <w:ind w:left="24" w:right="26"/>
              <w:jc w:val="center"/>
              <w:rPr>
                <w:sz w:val="18"/>
              </w:rPr>
            </w:pPr>
            <w:r>
              <w:rPr>
                <w:sz w:val="18"/>
              </w:rPr>
              <w:t>Qualifies AMI for Inclusion in facility Design</w:t>
            </w:r>
          </w:p>
        </w:tc>
        <w:tc>
          <w:tcPr>
            <w:tcW w:w="1139" w:type="dxa"/>
            <w:tcBorders>
              <w:top w:val="single" w:sz="8" w:space="0" w:color="FFFFFF"/>
              <w:left w:val="single" w:sz="8" w:space="0" w:color="FFFFFF"/>
              <w:bottom w:val="single" w:sz="8" w:space="0" w:color="FFFFFF"/>
              <w:right w:val="nil"/>
            </w:tcBorders>
            <w:shd w:val="clear" w:color="auto" w:fill="E9ECF4"/>
          </w:tcPr>
          <w:p>
            <w:pPr>
              <w:pStyle w:val="TableParagraph"/>
              <w:spacing w:before="3"/>
              <w:ind w:left="0"/>
              <w:rPr>
                <w:sz w:val="19"/>
              </w:rPr>
            </w:pPr>
          </w:p>
          <w:p>
            <w:pPr>
              <w:pStyle w:val="TableParagraph"/>
              <w:spacing w:before="0"/>
              <w:ind w:left="30" w:right="25" w:hanging="2"/>
              <w:jc w:val="center"/>
              <w:rPr>
                <w:sz w:val="18"/>
              </w:rPr>
            </w:pPr>
            <w:r>
              <w:rPr>
                <w:sz w:val="18"/>
              </w:rPr>
              <w:t>Manage AMI Equipment Configuration</w:t>
            </w:r>
          </w:p>
        </w:tc>
      </w:tr>
      <w:tr>
        <w:trPr>
          <w:trHeight w:val="1377" w:hRule="atLeast"/>
        </w:trPr>
        <w:tc>
          <w:tcPr>
            <w:tcW w:w="1143" w:type="dxa"/>
            <w:tcBorders>
              <w:top w:val="single" w:sz="8" w:space="0" w:color="FFFFFF"/>
              <w:left w:val="nil"/>
              <w:bottom w:val="single" w:sz="8" w:space="0" w:color="FFFFFF"/>
              <w:right w:val="single" w:sz="8" w:space="0" w:color="FFFFFF"/>
            </w:tcBorders>
            <w:shd w:val="clear" w:color="auto" w:fill="D0D7E8"/>
          </w:tcPr>
          <w:p>
            <w:pPr>
              <w:pStyle w:val="TableParagraph"/>
              <w:spacing w:before="116"/>
              <w:ind w:left="38" w:right="40"/>
              <w:jc w:val="center"/>
              <w:rPr>
                <w:sz w:val="18"/>
              </w:rPr>
            </w:pPr>
            <w:r>
              <w:rPr>
                <w:sz w:val="18"/>
              </w:rPr>
              <w:t>Support AMI Data Management and  Connectivity</w:t>
            </w:r>
          </w:p>
        </w:tc>
        <w:tc>
          <w:tcPr>
            <w:tcW w:w="1080" w:type="dxa"/>
            <w:tcBorders>
              <w:top w:val="single" w:sz="8" w:space="0" w:color="FFFFFF"/>
              <w:left w:val="single" w:sz="8" w:space="0" w:color="FFFFFF"/>
              <w:bottom w:val="single" w:sz="8" w:space="0" w:color="FFFFFF"/>
              <w:right w:val="single" w:sz="8" w:space="0" w:color="FFFFFF"/>
            </w:tcBorders>
            <w:shd w:val="clear" w:color="auto" w:fill="D0D7E8"/>
          </w:tcPr>
          <w:p>
            <w:pPr>
              <w:pStyle w:val="TableParagraph"/>
              <w:spacing w:before="3"/>
              <w:ind w:left="0"/>
              <w:rPr>
                <w:sz w:val="28"/>
              </w:rPr>
            </w:pPr>
          </w:p>
          <w:p>
            <w:pPr>
              <w:pStyle w:val="TableParagraph"/>
              <w:spacing w:before="0"/>
              <w:ind w:left="69" w:right="68"/>
              <w:jc w:val="center"/>
              <w:rPr>
                <w:sz w:val="18"/>
              </w:rPr>
            </w:pPr>
            <w:r>
              <w:rPr>
                <w:sz w:val="18"/>
              </w:rPr>
              <w:t>Support EDMS</w:t>
            </w:r>
          </w:p>
          <w:p>
            <w:pPr>
              <w:pStyle w:val="TableParagraph"/>
              <w:spacing w:line="206" w:lineRule="exact" w:before="0"/>
              <w:ind w:left="69" w:right="70"/>
              <w:jc w:val="center"/>
              <w:rPr>
                <w:sz w:val="18"/>
              </w:rPr>
            </w:pPr>
            <w:r>
              <w:rPr>
                <w:sz w:val="18"/>
              </w:rPr>
              <w:t>Application</w:t>
            </w:r>
          </w:p>
        </w:tc>
        <w:tc>
          <w:tcPr>
            <w:tcW w:w="912" w:type="dxa"/>
            <w:tcBorders>
              <w:top w:val="single" w:sz="8" w:space="0" w:color="FFFFFF"/>
              <w:left w:val="single" w:sz="8" w:space="0" w:color="FFFFFF"/>
              <w:bottom w:val="single" w:sz="8" w:space="0" w:color="FFFFFF"/>
              <w:right w:val="single" w:sz="8" w:space="0" w:color="FFFFFF"/>
            </w:tcBorders>
            <w:shd w:val="clear" w:color="auto" w:fill="D0D7E8"/>
          </w:tcPr>
          <w:p>
            <w:pPr>
              <w:pStyle w:val="TableParagraph"/>
              <w:spacing w:before="3"/>
              <w:ind w:left="0"/>
              <w:rPr>
                <w:sz w:val="28"/>
              </w:rPr>
            </w:pPr>
          </w:p>
          <w:p>
            <w:pPr>
              <w:pStyle w:val="TableParagraph"/>
              <w:spacing w:before="0"/>
              <w:ind w:left="184" w:right="115" w:hanging="58"/>
              <w:rPr>
                <w:sz w:val="18"/>
              </w:rPr>
            </w:pPr>
            <w:r>
              <w:rPr>
                <w:sz w:val="18"/>
              </w:rPr>
              <w:t>Support EDMS</w:t>
            </w:r>
          </w:p>
          <w:p>
            <w:pPr>
              <w:pStyle w:val="TableParagraph"/>
              <w:spacing w:line="206" w:lineRule="exact" w:before="0"/>
              <w:ind w:left="59"/>
              <w:rPr>
                <w:sz w:val="18"/>
              </w:rPr>
            </w:pPr>
            <w:r>
              <w:rPr>
                <w:sz w:val="18"/>
              </w:rPr>
              <w:t>Database</w:t>
            </w:r>
          </w:p>
        </w:tc>
        <w:tc>
          <w:tcPr>
            <w:tcW w:w="1061" w:type="dxa"/>
            <w:tcBorders>
              <w:top w:val="single" w:sz="8" w:space="0" w:color="FFFFFF"/>
              <w:left w:val="single" w:sz="8" w:space="0" w:color="FFFFFF"/>
              <w:bottom w:val="single" w:sz="8" w:space="0" w:color="FFFFFF"/>
              <w:right w:val="single" w:sz="8" w:space="0" w:color="FFFFFF"/>
            </w:tcBorders>
            <w:shd w:val="clear" w:color="auto" w:fill="D0D7E8"/>
          </w:tcPr>
          <w:p>
            <w:pPr>
              <w:pStyle w:val="TableParagraph"/>
              <w:spacing w:before="3"/>
              <w:ind w:left="0"/>
              <w:rPr>
                <w:sz w:val="28"/>
              </w:rPr>
            </w:pPr>
          </w:p>
          <w:p>
            <w:pPr>
              <w:pStyle w:val="TableParagraph"/>
              <w:spacing w:before="0"/>
              <w:ind w:left="359" w:right="117" w:hanging="226"/>
              <w:rPr>
                <w:sz w:val="18"/>
              </w:rPr>
            </w:pPr>
            <w:r>
              <w:rPr>
                <w:sz w:val="18"/>
              </w:rPr>
              <w:t>Oversees AMI</w:t>
            </w:r>
          </w:p>
          <w:p>
            <w:pPr>
              <w:pStyle w:val="TableParagraph"/>
              <w:spacing w:line="206" w:lineRule="exact" w:before="0"/>
              <w:ind w:left="88"/>
              <w:rPr>
                <w:sz w:val="18"/>
              </w:rPr>
            </w:pPr>
            <w:r>
              <w:rPr>
                <w:sz w:val="18"/>
              </w:rPr>
              <w:t>Installation</w:t>
            </w:r>
          </w:p>
        </w:tc>
        <w:tc>
          <w:tcPr>
            <w:tcW w:w="1149" w:type="dxa"/>
            <w:tcBorders>
              <w:top w:val="single" w:sz="8" w:space="0" w:color="FFFFFF"/>
              <w:left w:val="single" w:sz="8" w:space="0" w:color="FFFFFF"/>
              <w:bottom w:val="single" w:sz="8" w:space="0" w:color="FFFFFF"/>
              <w:right w:val="single" w:sz="8" w:space="0" w:color="FFFFFF"/>
            </w:tcBorders>
            <w:shd w:val="clear" w:color="auto" w:fill="D0D7E8"/>
          </w:tcPr>
          <w:p>
            <w:pPr>
              <w:pStyle w:val="TableParagraph"/>
              <w:spacing w:before="159"/>
              <w:ind w:left="244" w:right="241" w:hanging="4"/>
              <w:jc w:val="center"/>
              <w:rPr>
                <w:sz w:val="18"/>
              </w:rPr>
            </w:pPr>
            <w:r>
              <w:rPr>
                <w:sz w:val="18"/>
              </w:rPr>
              <w:t>Report Savings</w:t>
            </w:r>
          </w:p>
          <w:p>
            <w:pPr>
              <w:pStyle w:val="TableParagraph"/>
              <w:spacing w:before="121"/>
              <w:ind w:left="5"/>
              <w:jc w:val="center"/>
              <w:rPr>
                <w:sz w:val="18"/>
              </w:rPr>
            </w:pPr>
            <w:r>
              <w:rPr>
                <w:sz w:val="18"/>
              </w:rPr>
              <w:t>Achieved thru AMI</w:t>
            </w:r>
          </w:p>
        </w:tc>
        <w:tc>
          <w:tcPr>
            <w:tcW w:w="1142" w:type="dxa"/>
            <w:tcBorders>
              <w:top w:val="single" w:sz="8" w:space="0" w:color="FFFFFF"/>
              <w:left w:val="single" w:sz="8" w:space="0" w:color="FFFFFF"/>
              <w:bottom w:val="single" w:sz="8" w:space="0" w:color="FFFFFF"/>
              <w:right w:val="single" w:sz="8" w:space="0" w:color="FFFFFF"/>
            </w:tcBorders>
            <w:shd w:val="clear" w:color="auto" w:fill="D0D7E8"/>
          </w:tcPr>
          <w:p>
            <w:pPr>
              <w:pStyle w:val="TableParagraph"/>
              <w:spacing w:before="13"/>
              <w:ind w:left="5" w:right="3" w:hanging="4"/>
              <w:jc w:val="center"/>
              <w:rPr>
                <w:sz w:val="18"/>
              </w:rPr>
            </w:pPr>
            <w:r>
              <w:rPr>
                <w:sz w:val="18"/>
              </w:rPr>
              <w:t>Develops/ or Includes Plans and Specifications for AMI Installations</w:t>
            </w:r>
          </w:p>
        </w:tc>
        <w:tc>
          <w:tcPr>
            <w:tcW w:w="1139" w:type="dxa"/>
            <w:tcBorders>
              <w:top w:val="single" w:sz="8" w:space="0" w:color="FFFFFF"/>
              <w:left w:val="single" w:sz="8" w:space="0" w:color="FFFFFF"/>
              <w:bottom w:val="single" w:sz="8" w:space="0" w:color="FFFFFF"/>
              <w:right w:val="nil"/>
            </w:tcBorders>
            <w:shd w:val="clear" w:color="auto" w:fill="D0D7E8"/>
          </w:tcPr>
          <w:p>
            <w:pPr>
              <w:pStyle w:val="TableParagraph"/>
              <w:spacing w:before="3"/>
              <w:ind w:left="0"/>
              <w:rPr>
                <w:sz w:val="28"/>
              </w:rPr>
            </w:pPr>
          </w:p>
          <w:p>
            <w:pPr>
              <w:pStyle w:val="TableParagraph"/>
              <w:spacing w:before="0"/>
              <w:ind w:left="6" w:right="1" w:hanging="2"/>
              <w:jc w:val="center"/>
              <w:rPr>
                <w:sz w:val="18"/>
              </w:rPr>
            </w:pPr>
            <w:r>
              <w:rPr>
                <w:sz w:val="18"/>
              </w:rPr>
              <w:t>Support AMI Hardware Requirements</w:t>
            </w:r>
          </w:p>
        </w:tc>
      </w:tr>
      <w:tr>
        <w:trPr>
          <w:trHeight w:val="1288" w:hRule="atLeast"/>
        </w:trPr>
        <w:tc>
          <w:tcPr>
            <w:tcW w:w="1143" w:type="dxa"/>
            <w:tcBorders>
              <w:top w:val="single" w:sz="8" w:space="0" w:color="FFFFFF"/>
              <w:left w:val="nil"/>
              <w:bottom w:val="single" w:sz="8" w:space="0" w:color="FFFFFF"/>
              <w:right w:val="single" w:sz="8" w:space="0" w:color="FFFFFF"/>
            </w:tcBorders>
            <w:shd w:val="clear" w:color="auto" w:fill="E9ECF4"/>
          </w:tcPr>
          <w:p>
            <w:pPr>
              <w:pStyle w:val="TableParagraph"/>
              <w:spacing w:before="13"/>
              <w:ind w:left="4" w:right="5" w:hanging="5"/>
              <w:jc w:val="center"/>
              <w:rPr>
                <w:sz w:val="18"/>
              </w:rPr>
            </w:pPr>
            <w:r>
              <w:rPr>
                <w:sz w:val="18"/>
              </w:rPr>
              <w:t>Prioritizes AMI Projects Perform Energy</w:t>
            </w:r>
            <w:r>
              <w:rPr>
                <w:spacing w:val="-4"/>
                <w:sz w:val="18"/>
              </w:rPr>
              <w:t> </w:t>
            </w:r>
            <w:r>
              <w:rPr>
                <w:sz w:val="18"/>
              </w:rPr>
              <w:t>Audits</w:t>
            </w:r>
          </w:p>
          <w:p>
            <w:pPr>
              <w:pStyle w:val="TableParagraph"/>
              <w:spacing w:before="120"/>
              <w:ind w:left="38" w:right="40"/>
              <w:jc w:val="center"/>
              <w:rPr>
                <w:sz w:val="18"/>
              </w:rPr>
            </w:pPr>
            <w:r>
              <w:rPr>
                <w:sz w:val="18"/>
              </w:rPr>
              <w:t>Thru REMs</w:t>
            </w:r>
          </w:p>
        </w:tc>
        <w:tc>
          <w:tcPr>
            <w:tcW w:w="1080" w:type="dxa"/>
            <w:tcBorders>
              <w:top w:val="single" w:sz="8" w:space="0" w:color="FFFFFF"/>
              <w:left w:val="single" w:sz="8" w:space="0" w:color="FFFFFF"/>
              <w:bottom w:val="single" w:sz="8" w:space="0" w:color="FFFFFF"/>
              <w:right w:val="single" w:sz="8" w:space="0" w:color="FFFFFF"/>
            </w:tcBorders>
            <w:shd w:val="clear" w:color="auto" w:fill="E9ECF4"/>
          </w:tcPr>
          <w:p>
            <w:pPr>
              <w:pStyle w:val="TableParagraph"/>
              <w:spacing w:before="3"/>
              <w:ind w:left="0"/>
              <w:rPr>
                <w:sz w:val="24"/>
              </w:rPr>
            </w:pPr>
          </w:p>
          <w:p>
            <w:pPr>
              <w:pStyle w:val="TableParagraph"/>
              <w:spacing w:before="1"/>
              <w:ind w:left="4" w:right="1" w:hanging="5"/>
              <w:jc w:val="center"/>
              <w:rPr>
                <w:sz w:val="18"/>
              </w:rPr>
            </w:pPr>
            <w:r>
              <w:rPr>
                <w:sz w:val="18"/>
              </w:rPr>
              <w:t>Support AMI Data Management</w:t>
            </w:r>
          </w:p>
        </w:tc>
        <w:tc>
          <w:tcPr>
            <w:tcW w:w="912" w:type="dxa"/>
            <w:tcBorders>
              <w:top w:val="single" w:sz="8" w:space="0" w:color="FFFFFF"/>
              <w:left w:val="single" w:sz="8" w:space="0" w:color="FFFFFF"/>
              <w:bottom w:val="single" w:sz="8" w:space="0" w:color="FFFFFF"/>
              <w:right w:val="single" w:sz="8" w:space="0" w:color="FFFFFF"/>
            </w:tcBorders>
            <w:shd w:val="clear" w:color="auto" w:fill="E9ECF4"/>
          </w:tcPr>
          <w:p>
            <w:pPr>
              <w:pStyle w:val="TableParagraph"/>
              <w:spacing w:before="3"/>
              <w:ind w:left="0"/>
              <w:rPr>
                <w:sz w:val="24"/>
              </w:rPr>
            </w:pPr>
          </w:p>
          <w:p>
            <w:pPr>
              <w:pStyle w:val="TableParagraph"/>
              <w:spacing w:before="1"/>
              <w:ind w:left="184" w:right="115" w:hanging="58"/>
              <w:rPr>
                <w:sz w:val="18"/>
              </w:rPr>
            </w:pPr>
            <w:r>
              <w:rPr>
                <w:sz w:val="18"/>
              </w:rPr>
              <w:t>Support EDMS</w:t>
            </w:r>
          </w:p>
          <w:p>
            <w:pPr>
              <w:pStyle w:val="TableParagraph"/>
              <w:spacing w:before="1"/>
              <w:ind w:left="213"/>
              <w:rPr>
                <w:sz w:val="18"/>
              </w:rPr>
            </w:pPr>
            <w:r>
              <w:rPr>
                <w:sz w:val="18"/>
              </w:rPr>
              <w:t>Client</w:t>
            </w:r>
          </w:p>
        </w:tc>
        <w:tc>
          <w:tcPr>
            <w:tcW w:w="1061" w:type="dxa"/>
            <w:tcBorders>
              <w:top w:val="single" w:sz="8" w:space="0" w:color="FFFFFF"/>
              <w:left w:val="single" w:sz="8" w:space="0" w:color="FFFFFF"/>
              <w:bottom w:val="single" w:sz="8" w:space="0" w:color="FFFFFF"/>
              <w:right w:val="single" w:sz="8" w:space="0" w:color="FFFFFF"/>
            </w:tcBorders>
            <w:shd w:val="clear" w:color="auto" w:fill="E9ECF4"/>
          </w:tcPr>
          <w:p>
            <w:pPr>
              <w:pStyle w:val="TableParagraph"/>
              <w:spacing w:before="0"/>
              <w:ind w:left="0"/>
              <w:rPr>
                <w:sz w:val="20"/>
              </w:rPr>
            </w:pPr>
          </w:p>
          <w:p>
            <w:pPr>
              <w:pStyle w:val="TableParagraph"/>
              <w:spacing w:before="155"/>
              <w:ind w:left="4" w:right="-14" w:firstLine="9"/>
              <w:rPr>
                <w:sz w:val="18"/>
              </w:rPr>
            </w:pPr>
            <w:r>
              <w:rPr>
                <w:sz w:val="18"/>
              </w:rPr>
              <w:t>Perform AMI Maintenance</w:t>
            </w:r>
          </w:p>
        </w:tc>
        <w:tc>
          <w:tcPr>
            <w:tcW w:w="1149" w:type="dxa"/>
            <w:tcBorders>
              <w:top w:val="single" w:sz="8" w:space="0" w:color="FFFFFF"/>
              <w:left w:val="single" w:sz="8" w:space="0" w:color="FFFFFF"/>
              <w:bottom w:val="single" w:sz="8" w:space="0" w:color="FFFFFF"/>
              <w:right w:val="single" w:sz="8" w:space="0" w:color="FFFFFF"/>
            </w:tcBorders>
            <w:shd w:val="clear" w:color="auto" w:fill="E9ECF4"/>
          </w:tcPr>
          <w:p>
            <w:pPr>
              <w:pStyle w:val="TableParagraph"/>
              <w:spacing w:before="0"/>
              <w:ind w:left="0"/>
              <w:rPr>
                <w:rFonts w:ascii="Times New Roman"/>
                <w:sz w:val="20"/>
              </w:rPr>
            </w:pPr>
          </w:p>
        </w:tc>
        <w:tc>
          <w:tcPr>
            <w:tcW w:w="1142" w:type="dxa"/>
            <w:tcBorders>
              <w:top w:val="single" w:sz="8" w:space="0" w:color="FFFFFF"/>
              <w:left w:val="single" w:sz="8" w:space="0" w:color="FFFFFF"/>
              <w:bottom w:val="single" w:sz="8" w:space="0" w:color="FFFFFF"/>
              <w:right w:val="single" w:sz="8" w:space="0" w:color="FFFFFF"/>
            </w:tcBorders>
            <w:shd w:val="clear" w:color="auto" w:fill="E9ECF4"/>
          </w:tcPr>
          <w:p>
            <w:pPr>
              <w:pStyle w:val="TableParagraph"/>
              <w:spacing w:before="0"/>
              <w:ind w:left="0"/>
              <w:rPr>
                <w:rFonts w:ascii="Times New Roman"/>
                <w:sz w:val="20"/>
              </w:rPr>
            </w:pPr>
          </w:p>
        </w:tc>
        <w:tc>
          <w:tcPr>
            <w:tcW w:w="1139" w:type="dxa"/>
            <w:tcBorders>
              <w:top w:val="single" w:sz="8" w:space="0" w:color="FFFFFF"/>
              <w:left w:val="single" w:sz="8" w:space="0" w:color="FFFFFF"/>
              <w:bottom w:val="single" w:sz="8" w:space="0" w:color="FFFFFF"/>
              <w:right w:val="nil"/>
            </w:tcBorders>
            <w:shd w:val="clear" w:color="auto" w:fill="E9ECF4"/>
          </w:tcPr>
          <w:p>
            <w:pPr>
              <w:pStyle w:val="TableParagraph"/>
              <w:spacing w:before="0"/>
              <w:ind w:left="0"/>
              <w:rPr>
                <w:rFonts w:ascii="Times New Roman"/>
                <w:sz w:val="20"/>
              </w:rPr>
            </w:pPr>
          </w:p>
        </w:tc>
      </w:tr>
      <w:tr>
        <w:trPr>
          <w:trHeight w:val="757" w:hRule="atLeast"/>
        </w:trPr>
        <w:tc>
          <w:tcPr>
            <w:tcW w:w="1143" w:type="dxa"/>
            <w:tcBorders>
              <w:top w:val="single" w:sz="8" w:space="0" w:color="FFFFFF"/>
              <w:left w:val="nil"/>
              <w:bottom w:val="nil"/>
              <w:right w:val="single" w:sz="8" w:space="0" w:color="FFFFFF"/>
            </w:tcBorders>
            <w:shd w:val="clear" w:color="auto" w:fill="D0D7E8"/>
          </w:tcPr>
          <w:p>
            <w:pPr>
              <w:pStyle w:val="TableParagraph"/>
              <w:spacing w:before="15"/>
              <w:ind w:left="230" w:right="230" w:firstLine="12"/>
              <w:jc w:val="both"/>
              <w:rPr>
                <w:sz w:val="18"/>
              </w:rPr>
            </w:pPr>
            <w:r>
              <w:rPr>
                <w:sz w:val="18"/>
              </w:rPr>
              <w:t>Perform Energy Analysis</w:t>
            </w:r>
          </w:p>
        </w:tc>
        <w:tc>
          <w:tcPr>
            <w:tcW w:w="1080" w:type="dxa"/>
            <w:tcBorders>
              <w:top w:val="single" w:sz="8" w:space="0" w:color="FFFFFF"/>
              <w:left w:val="single" w:sz="8" w:space="0" w:color="FFFFFF"/>
              <w:bottom w:val="nil"/>
              <w:right w:val="single" w:sz="8" w:space="0" w:color="FFFFFF"/>
            </w:tcBorders>
            <w:shd w:val="clear" w:color="auto" w:fill="D0D7E8"/>
          </w:tcPr>
          <w:p>
            <w:pPr>
              <w:pStyle w:val="TableParagraph"/>
              <w:spacing w:before="0"/>
              <w:ind w:left="0"/>
              <w:rPr>
                <w:rFonts w:ascii="Times New Roman"/>
                <w:sz w:val="20"/>
              </w:rPr>
            </w:pPr>
          </w:p>
        </w:tc>
        <w:tc>
          <w:tcPr>
            <w:tcW w:w="912" w:type="dxa"/>
            <w:tcBorders>
              <w:top w:val="single" w:sz="8" w:space="0" w:color="FFFFFF"/>
              <w:left w:val="single" w:sz="8" w:space="0" w:color="FFFFFF"/>
              <w:bottom w:val="nil"/>
              <w:right w:val="single" w:sz="8" w:space="0" w:color="FFFFFF"/>
            </w:tcBorders>
            <w:shd w:val="clear" w:color="auto" w:fill="D0D7E8"/>
          </w:tcPr>
          <w:p>
            <w:pPr>
              <w:pStyle w:val="TableParagraph"/>
              <w:spacing w:before="15"/>
              <w:ind w:left="13" w:right="15" w:hanging="1"/>
              <w:jc w:val="center"/>
              <w:rPr>
                <w:sz w:val="18"/>
              </w:rPr>
            </w:pPr>
            <w:r>
              <w:rPr>
                <w:sz w:val="18"/>
              </w:rPr>
              <w:t>Manage Network at Site</w:t>
            </w:r>
          </w:p>
        </w:tc>
        <w:tc>
          <w:tcPr>
            <w:tcW w:w="1061" w:type="dxa"/>
            <w:tcBorders>
              <w:top w:val="single" w:sz="8" w:space="0" w:color="FFFFFF"/>
              <w:left w:val="single" w:sz="8" w:space="0" w:color="FFFFFF"/>
              <w:bottom w:val="nil"/>
              <w:right w:val="single" w:sz="8" w:space="0" w:color="FFFFFF"/>
            </w:tcBorders>
            <w:shd w:val="clear" w:color="auto" w:fill="D0D7E8"/>
          </w:tcPr>
          <w:p>
            <w:pPr>
              <w:pStyle w:val="TableParagraph"/>
              <w:spacing w:before="15"/>
              <w:ind w:left="184" w:right="184" w:firstLine="14"/>
              <w:jc w:val="both"/>
              <w:rPr>
                <w:sz w:val="18"/>
              </w:rPr>
            </w:pPr>
            <w:r>
              <w:rPr>
                <w:sz w:val="18"/>
              </w:rPr>
              <w:t>Perform Energy Analysis</w:t>
            </w:r>
          </w:p>
        </w:tc>
        <w:tc>
          <w:tcPr>
            <w:tcW w:w="1149" w:type="dxa"/>
            <w:tcBorders>
              <w:top w:val="single" w:sz="8" w:space="0" w:color="FFFFFF"/>
              <w:left w:val="single" w:sz="8" w:space="0" w:color="FFFFFF"/>
              <w:bottom w:val="nil"/>
              <w:right w:val="single" w:sz="8" w:space="0" w:color="FFFFFF"/>
            </w:tcBorders>
            <w:shd w:val="clear" w:color="auto" w:fill="D0D7E8"/>
          </w:tcPr>
          <w:p>
            <w:pPr>
              <w:pStyle w:val="TableParagraph"/>
              <w:spacing w:before="0"/>
              <w:ind w:left="0"/>
              <w:rPr>
                <w:rFonts w:ascii="Times New Roman"/>
                <w:sz w:val="20"/>
              </w:rPr>
            </w:pPr>
          </w:p>
        </w:tc>
        <w:tc>
          <w:tcPr>
            <w:tcW w:w="1142" w:type="dxa"/>
            <w:tcBorders>
              <w:top w:val="single" w:sz="8" w:space="0" w:color="FFFFFF"/>
              <w:left w:val="single" w:sz="8" w:space="0" w:color="FFFFFF"/>
              <w:bottom w:val="nil"/>
              <w:right w:val="single" w:sz="8" w:space="0" w:color="FFFFFF"/>
            </w:tcBorders>
            <w:shd w:val="clear" w:color="auto" w:fill="D0D7E8"/>
          </w:tcPr>
          <w:p>
            <w:pPr>
              <w:pStyle w:val="TableParagraph"/>
              <w:spacing w:before="0"/>
              <w:ind w:left="0"/>
              <w:rPr>
                <w:rFonts w:ascii="Times New Roman"/>
                <w:sz w:val="20"/>
              </w:rPr>
            </w:pPr>
          </w:p>
        </w:tc>
        <w:tc>
          <w:tcPr>
            <w:tcW w:w="1139" w:type="dxa"/>
            <w:tcBorders>
              <w:top w:val="single" w:sz="8" w:space="0" w:color="FFFFFF"/>
              <w:left w:val="single" w:sz="8" w:space="0" w:color="FFFFFF"/>
              <w:bottom w:val="nil"/>
              <w:right w:val="nil"/>
            </w:tcBorders>
            <w:shd w:val="clear" w:color="auto" w:fill="D0D7E8"/>
          </w:tcPr>
          <w:p>
            <w:pPr>
              <w:pStyle w:val="TableParagraph"/>
              <w:spacing w:before="0"/>
              <w:ind w:left="0"/>
              <w:rPr>
                <w:rFonts w:ascii="Times New Roman"/>
                <w:sz w:val="20"/>
              </w:rPr>
            </w:pPr>
          </w:p>
        </w:tc>
      </w:tr>
    </w:tbl>
    <w:p>
      <w:pPr>
        <w:spacing w:before="73"/>
        <w:ind w:left="31" w:right="209" w:firstLine="0"/>
        <w:jc w:val="center"/>
        <w:rPr>
          <w:b/>
          <w:sz w:val="18"/>
        </w:rPr>
      </w:pPr>
      <w:bookmarkStart w:name="_bookmark2" w:id="5"/>
      <w:bookmarkEnd w:id="5"/>
      <w:r>
        <w:rPr/>
      </w:r>
      <w:r>
        <w:rPr>
          <w:b/>
          <w:sz w:val="18"/>
        </w:rPr>
        <w:t>Figure 1: AMI Program Relationships</w:t>
      </w:r>
    </w:p>
    <w:p>
      <w:pPr>
        <w:spacing w:after="0"/>
        <w:jc w:val="center"/>
        <w:rPr>
          <w:sz w:val="18"/>
        </w:rPr>
        <w:sectPr>
          <w:footerReference w:type="default" r:id="rId14"/>
          <w:pgSz w:w="12240" w:h="15840"/>
          <w:pgMar w:footer="1020" w:header="724" w:top="1220" w:bottom="1220" w:left="860" w:right="680"/>
          <w:pgNumType w:start="1"/>
        </w:sectPr>
      </w:pPr>
    </w:p>
    <w:p>
      <w:pPr>
        <w:pStyle w:val="BodyText"/>
        <w:spacing w:before="10"/>
        <w:rPr>
          <w:b/>
          <w:sz w:val="10"/>
        </w:rPr>
      </w:pPr>
    </w:p>
    <w:p>
      <w:pPr>
        <w:pStyle w:val="Heading2"/>
        <w:numPr>
          <w:ilvl w:val="1"/>
          <w:numId w:val="4"/>
        </w:numPr>
        <w:tabs>
          <w:tab w:pos="1156" w:val="left" w:leader="none"/>
          <w:tab w:pos="1157" w:val="left" w:leader="none"/>
        </w:tabs>
        <w:spacing w:line="240" w:lineRule="auto" w:before="91" w:after="0"/>
        <w:ind w:left="1156" w:right="0" w:hanging="576"/>
        <w:jc w:val="left"/>
      </w:pPr>
      <w:bookmarkStart w:name="_bookmark3" w:id="6"/>
      <w:bookmarkEnd w:id="6"/>
      <w:r>
        <w:rPr>
          <w:b w:val="0"/>
        </w:rPr>
      </w:r>
      <w:bookmarkStart w:name="_bookmark3" w:id="7"/>
      <w:bookmarkEnd w:id="7"/>
      <w:r>
        <w:rPr/>
        <w:t>A</w:t>
      </w:r>
      <w:r>
        <w:rPr/>
        <w:t>dvanced Meters vs Standard</w:t>
      </w:r>
      <w:r>
        <w:rPr>
          <w:spacing w:val="1"/>
        </w:rPr>
        <w:t> </w:t>
      </w:r>
      <w:r>
        <w:rPr/>
        <w:t>Meters</w:t>
      </w:r>
    </w:p>
    <w:p>
      <w:pPr>
        <w:pStyle w:val="BodyText"/>
        <w:spacing w:line="276" w:lineRule="auto" w:before="120"/>
        <w:ind w:left="580" w:right="760"/>
      </w:pPr>
      <w:r>
        <w:rPr/>
        <w:t>It is important to differentiate the advanced meter equipment detailed herein from standard energy and consumption meters. The latter are electromechanical or solid state meters that cumulatively measure, record, and store aggregated usage data that are periodically retrieved for use in customer billing or energy management. In contrast, advanced meters are those that have the capability to measure and record interval data (at least hourly for electricity) and communicate the data to a remote location in a format that can be easily integrated into an advanced metering system. These advanced meters commonly measure every 15 minutes to match utility billing intervals. Other intervals (e.g., 1 minute, 5 minute, hourly) can be accessed and are useful for examining equipment performance, trending, and start/stop characteristics. Measuring consumption, collecting data, and analyzing at the whole building, sub-panel, or even specific end-use levels allow for effective decision making to best maintain systems and ultimately reduce utility consumption through awareness and optimizing equipment performance.</w:t>
      </w:r>
    </w:p>
    <w:p>
      <w:pPr>
        <w:pStyle w:val="BodyText"/>
        <w:spacing w:line="276" w:lineRule="auto" w:before="119"/>
        <w:ind w:left="580" w:right="757"/>
      </w:pPr>
      <w:r>
        <w:rPr/>
        <w:t>Most United States Coast Guard (USCG) sites and facilities were originally constructed with utilities measured via standard usage meters only at incoming site area or within other agency jurisdictions. These meters are known as master meters and only track cumulative usage of multiple buildings at infrequent intervals. This level of usage metering does not comply with the federal mandates for detailed tracking of specific facilities (buildings, shore ties, equipment etc.).</w:t>
      </w:r>
    </w:p>
    <w:p>
      <w:pPr>
        <w:pStyle w:val="BodyText"/>
        <w:spacing w:line="276" w:lineRule="auto" w:before="122"/>
        <w:ind w:left="580" w:right="879"/>
      </w:pPr>
      <w:r>
        <w:rPr/>
        <w:t>While advanced metering for steam is recommended at the building level per federal guidance, there is not a business case for advanced metering of steam within Coast Guard facilities.</w:t>
      </w:r>
    </w:p>
    <w:p>
      <w:pPr>
        <w:pStyle w:val="BodyText"/>
        <w:spacing w:line="276" w:lineRule="auto"/>
        <w:ind w:left="580" w:right="782"/>
      </w:pPr>
      <w:r>
        <w:rPr/>
        <w:t>Similarly, fuel oil consumption is consistent only with standard metering. As these do not require advanced interval based consumption measurements, steam and fuel oil are not referenced in this CSTO.</w:t>
      </w:r>
    </w:p>
    <w:p>
      <w:pPr>
        <w:pStyle w:val="BodyText"/>
        <w:spacing w:line="276" w:lineRule="auto" w:before="120"/>
        <w:ind w:left="580" w:right="842"/>
      </w:pPr>
      <w:r>
        <w:rPr/>
        <w:t>The configuration for the Advanced Metering System documented in this CSTO began from the initial phase of the Advanced Metering Initiative (AMI) Project in 2012. During this initial rollout of the AMI, equipment from Obvius LLC., an energy solutions provider, was selected as the standard configuration for Data Acquisition Servers (DAS) and Transceivers. Over 1960 advanced electrical meters were installed in Coast Guard buildings at appropriate assets – buildings equal or greater than 5000 SF, buildings with high energy use, select family housing and tactical assets (shore ties).</w:t>
      </w:r>
    </w:p>
    <w:p>
      <w:pPr>
        <w:pStyle w:val="BodyText"/>
        <w:spacing w:before="9"/>
        <w:rPr>
          <w:sz w:val="20"/>
        </w:rPr>
      </w:pPr>
    </w:p>
    <w:p>
      <w:pPr>
        <w:pStyle w:val="Heading2"/>
        <w:numPr>
          <w:ilvl w:val="1"/>
          <w:numId w:val="4"/>
        </w:numPr>
        <w:tabs>
          <w:tab w:pos="1156" w:val="left" w:leader="none"/>
          <w:tab w:pos="1157" w:val="left" w:leader="none"/>
        </w:tabs>
        <w:spacing w:line="240" w:lineRule="auto" w:before="1" w:after="0"/>
        <w:ind w:left="1156" w:right="0" w:hanging="576"/>
        <w:jc w:val="left"/>
      </w:pPr>
      <w:bookmarkStart w:name="_bookmark4" w:id="8"/>
      <w:bookmarkEnd w:id="8"/>
      <w:r>
        <w:rPr>
          <w:b w:val="0"/>
        </w:rPr>
      </w:r>
      <w:bookmarkStart w:name="_bookmark4" w:id="9"/>
      <w:bookmarkEnd w:id="9"/>
      <w:r>
        <w:rPr/>
        <w:t>A</w:t>
      </w:r>
      <w:r>
        <w:rPr/>
        <w:t>pplicability</w:t>
      </w:r>
    </w:p>
    <w:p>
      <w:pPr>
        <w:pStyle w:val="BodyText"/>
        <w:spacing w:line="276" w:lineRule="auto" w:before="120"/>
        <w:ind w:left="580" w:right="978"/>
      </w:pPr>
      <w:r>
        <w:rPr/>
        <w:t>This technical order applies to utilities assets, as defined by the USCG Facilities Classification Guide, and listed in </w:t>
      </w:r>
      <w:hyperlink w:history="true" w:anchor="_bookmark5">
        <w:r>
          <w:rPr/>
          <w:t>Table 1-1</w:t>
        </w:r>
      </w:hyperlink>
      <w:r>
        <w:rPr/>
        <w:t>. </w:t>
      </w:r>
      <w:hyperlink w:history="true" w:anchor="_bookmark6">
        <w:r>
          <w:rPr/>
          <w:t>Table 1-2 </w:t>
        </w:r>
      </w:hyperlink>
      <w:r>
        <w:rPr/>
        <w:t>defines the Advanced Metering Equipment and associated Level IV Uniformats.</w:t>
      </w:r>
    </w:p>
    <w:p>
      <w:pPr>
        <w:pStyle w:val="BodyText"/>
        <w:spacing w:line="278" w:lineRule="auto" w:before="119"/>
        <w:ind w:left="580" w:right="965"/>
      </w:pPr>
      <w:r>
        <w:rPr/>
        <w:t>Facilities which are required to be metered with advanced meters shall be determined through Qualification and Prioritization processes as described in Section </w:t>
      </w:r>
      <w:hyperlink w:history="true" w:anchor="_bookmark9">
        <w:r>
          <w:rPr/>
          <w:t>2</w:t>
        </w:r>
      </w:hyperlink>
      <w:r>
        <w:rPr/>
        <w:t>.</w:t>
      </w:r>
    </w:p>
    <w:p>
      <w:pPr>
        <w:spacing w:after="0" w:line="278" w:lineRule="auto"/>
        <w:sectPr>
          <w:pgSz w:w="12240" w:h="15840"/>
          <w:pgMar w:header="724" w:footer="1020" w:top="1220" w:bottom="1220" w:left="860" w:right="680"/>
        </w:sectPr>
      </w:pPr>
    </w:p>
    <w:p>
      <w:pPr>
        <w:pStyle w:val="BodyText"/>
        <w:spacing w:before="2"/>
        <w:rPr>
          <w:sz w:val="10"/>
        </w:rPr>
      </w:pPr>
    </w:p>
    <w:p>
      <w:pPr>
        <w:spacing w:before="94"/>
        <w:ind w:left="3149" w:right="0" w:firstLine="0"/>
        <w:jc w:val="left"/>
        <w:rPr>
          <w:b/>
          <w:sz w:val="18"/>
        </w:rPr>
      </w:pPr>
      <w:bookmarkStart w:name="_bookmark5" w:id="10"/>
      <w:bookmarkEnd w:id="10"/>
      <w:r>
        <w:rPr/>
      </w:r>
      <w:r>
        <w:rPr>
          <w:b/>
          <w:sz w:val="18"/>
        </w:rPr>
        <w:t>Table 1-1: Applicable Assets Listed by CATCODE</w:t>
      </w:r>
    </w:p>
    <w:p>
      <w:pPr>
        <w:pStyle w:val="BodyText"/>
        <w:spacing w:before="8"/>
        <w:rPr>
          <w:b/>
          <w:sz w:val="5"/>
        </w:rPr>
      </w:pPr>
    </w:p>
    <w:tbl>
      <w:tblPr>
        <w:tblW w:w="0" w:type="auto"/>
        <w:jc w:val="left"/>
        <w:tblInd w:w="59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2341"/>
        <w:gridCol w:w="6410"/>
      </w:tblGrid>
      <w:tr>
        <w:trPr>
          <w:trHeight w:val="311" w:hRule="atLeast"/>
        </w:trPr>
        <w:tc>
          <w:tcPr>
            <w:tcW w:w="2341" w:type="dxa"/>
            <w:shd w:val="clear" w:color="auto" w:fill="D9D9D9"/>
          </w:tcPr>
          <w:p>
            <w:pPr>
              <w:pStyle w:val="TableParagraph"/>
              <w:spacing w:before="35"/>
              <w:rPr>
                <w:b/>
                <w:sz w:val="20"/>
              </w:rPr>
            </w:pPr>
            <w:r>
              <w:rPr>
                <w:b/>
                <w:sz w:val="20"/>
              </w:rPr>
              <w:t>CATCODE</w:t>
            </w:r>
          </w:p>
        </w:tc>
        <w:tc>
          <w:tcPr>
            <w:tcW w:w="6410" w:type="dxa"/>
            <w:shd w:val="clear" w:color="auto" w:fill="D9D9D9"/>
          </w:tcPr>
          <w:p>
            <w:pPr>
              <w:pStyle w:val="TableParagraph"/>
              <w:spacing w:before="35"/>
              <w:rPr>
                <w:b/>
                <w:sz w:val="20"/>
              </w:rPr>
            </w:pPr>
            <w:r>
              <w:rPr>
                <w:b/>
                <w:sz w:val="20"/>
              </w:rPr>
              <w:t>CATCODE Description</w:t>
            </w:r>
          </w:p>
        </w:tc>
      </w:tr>
      <w:tr>
        <w:trPr>
          <w:trHeight w:val="309" w:hRule="atLeast"/>
        </w:trPr>
        <w:tc>
          <w:tcPr>
            <w:tcW w:w="2341" w:type="dxa"/>
          </w:tcPr>
          <w:p>
            <w:pPr>
              <w:pStyle w:val="TableParagraph"/>
              <w:rPr>
                <w:sz w:val="20"/>
              </w:rPr>
            </w:pPr>
            <w:r>
              <w:rPr>
                <w:sz w:val="20"/>
              </w:rPr>
              <w:t>811-46</w:t>
            </w:r>
          </w:p>
        </w:tc>
        <w:tc>
          <w:tcPr>
            <w:tcW w:w="6410" w:type="dxa"/>
          </w:tcPr>
          <w:p>
            <w:pPr>
              <w:pStyle w:val="TableParagraph"/>
              <w:rPr>
                <w:sz w:val="20"/>
              </w:rPr>
            </w:pPr>
            <w:r>
              <w:rPr>
                <w:sz w:val="20"/>
              </w:rPr>
              <w:t>Electric Power - Wind Turbine</w:t>
            </w:r>
          </w:p>
        </w:tc>
      </w:tr>
      <w:tr>
        <w:trPr>
          <w:trHeight w:val="309" w:hRule="atLeast"/>
        </w:trPr>
        <w:tc>
          <w:tcPr>
            <w:tcW w:w="2341" w:type="dxa"/>
          </w:tcPr>
          <w:p>
            <w:pPr>
              <w:pStyle w:val="TableParagraph"/>
              <w:rPr>
                <w:sz w:val="20"/>
              </w:rPr>
            </w:pPr>
            <w:r>
              <w:rPr>
                <w:sz w:val="20"/>
              </w:rPr>
              <w:t>811-48</w:t>
            </w:r>
          </w:p>
        </w:tc>
        <w:tc>
          <w:tcPr>
            <w:tcW w:w="6410" w:type="dxa"/>
          </w:tcPr>
          <w:p>
            <w:pPr>
              <w:pStyle w:val="TableParagraph"/>
              <w:rPr>
                <w:sz w:val="20"/>
              </w:rPr>
            </w:pPr>
            <w:r>
              <w:rPr>
                <w:sz w:val="20"/>
              </w:rPr>
              <w:t>Alt Energy Source Power not Solar/Wind</w:t>
            </w:r>
          </w:p>
        </w:tc>
      </w:tr>
      <w:tr>
        <w:trPr>
          <w:trHeight w:val="311" w:hRule="atLeast"/>
        </w:trPr>
        <w:tc>
          <w:tcPr>
            <w:tcW w:w="2341" w:type="dxa"/>
          </w:tcPr>
          <w:p>
            <w:pPr>
              <w:pStyle w:val="TableParagraph"/>
              <w:rPr>
                <w:sz w:val="20"/>
              </w:rPr>
            </w:pPr>
            <w:r>
              <w:rPr>
                <w:sz w:val="20"/>
              </w:rPr>
              <w:t>811-50</w:t>
            </w:r>
          </w:p>
        </w:tc>
        <w:tc>
          <w:tcPr>
            <w:tcW w:w="6410" w:type="dxa"/>
          </w:tcPr>
          <w:p>
            <w:pPr>
              <w:pStyle w:val="TableParagraph"/>
              <w:rPr>
                <w:sz w:val="20"/>
              </w:rPr>
            </w:pPr>
            <w:r>
              <w:rPr>
                <w:sz w:val="20"/>
              </w:rPr>
              <w:t>Solar Array or Photovoltaic System</w:t>
            </w:r>
          </w:p>
        </w:tc>
      </w:tr>
      <w:tr>
        <w:trPr>
          <w:trHeight w:val="309" w:hRule="atLeast"/>
        </w:trPr>
        <w:tc>
          <w:tcPr>
            <w:tcW w:w="2341" w:type="dxa"/>
          </w:tcPr>
          <w:p>
            <w:pPr>
              <w:pStyle w:val="TableParagraph"/>
              <w:rPr>
                <w:sz w:val="20"/>
              </w:rPr>
            </w:pPr>
            <w:r>
              <w:rPr>
                <w:sz w:val="20"/>
              </w:rPr>
              <w:t>812-01</w:t>
            </w:r>
          </w:p>
        </w:tc>
        <w:tc>
          <w:tcPr>
            <w:tcW w:w="6410" w:type="dxa"/>
          </w:tcPr>
          <w:p>
            <w:pPr>
              <w:pStyle w:val="TableParagraph"/>
              <w:rPr>
                <w:sz w:val="20"/>
              </w:rPr>
            </w:pPr>
            <w:r>
              <w:rPr>
                <w:sz w:val="20"/>
              </w:rPr>
              <w:t>Electrical Distribution System</w:t>
            </w:r>
          </w:p>
        </w:tc>
      </w:tr>
      <w:tr>
        <w:trPr>
          <w:trHeight w:val="309" w:hRule="atLeast"/>
        </w:trPr>
        <w:tc>
          <w:tcPr>
            <w:tcW w:w="2341" w:type="dxa"/>
          </w:tcPr>
          <w:p>
            <w:pPr>
              <w:pStyle w:val="TableParagraph"/>
              <w:rPr>
                <w:sz w:val="20"/>
              </w:rPr>
            </w:pPr>
            <w:r>
              <w:rPr>
                <w:sz w:val="20"/>
              </w:rPr>
              <w:t>812-31</w:t>
            </w:r>
          </w:p>
        </w:tc>
        <w:tc>
          <w:tcPr>
            <w:tcW w:w="6410" w:type="dxa"/>
          </w:tcPr>
          <w:p>
            <w:pPr>
              <w:pStyle w:val="TableParagraph"/>
              <w:rPr>
                <w:sz w:val="20"/>
              </w:rPr>
            </w:pPr>
            <w:r>
              <w:rPr>
                <w:sz w:val="20"/>
              </w:rPr>
              <w:t>Electrical Power Distribution Line, Overhead</w:t>
            </w:r>
          </w:p>
        </w:tc>
      </w:tr>
      <w:tr>
        <w:trPr>
          <w:trHeight w:val="311" w:hRule="atLeast"/>
        </w:trPr>
        <w:tc>
          <w:tcPr>
            <w:tcW w:w="2341" w:type="dxa"/>
          </w:tcPr>
          <w:p>
            <w:pPr>
              <w:pStyle w:val="TableParagraph"/>
              <w:rPr>
                <w:sz w:val="20"/>
              </w:rPr>
            </w:pPr>
            <w:r>
              <w:rPr>
                <w:sz w:val="20"/>
              </w:rPr>
              <w:t>812-32</w:t>
            </w:r>
          </w:p>
        </w:tc>
        <w:tc>
          <w:tcPr>
            <w:tcW w:w="6410" w:type="dxa"/>
          </w:tcPr>
          <w:p>
            <w:pPr>
              <w:pStyle w:val="TableParagraph"/>
              <w:rPr>
                <w:sz w:val="20"/>
              </w:rPr>
            </w:pPr>
            <w:r>
              <w:rPr>
                <w:sz w:val="20"/>
              </w:rPr>
              <w:t>Electrical Power Distribution Line, Underground</w:t>
            </w:r>
          </w:p>
        </w:tc>
      </w:tr>
      <w:tr>
        <w:trPr>
          <w:trHeight w:val="309" w:hRule="atLeast"/>
        </w:trPr>
        <w:tc>
          <w:tcPr>
            <w:tcW w:w="2341" w:type="dxa"/>
          </w:tcPr>
          <w:p>
            <w:pPr>
              <w:pStyle w:val="TableParagraph"/>
              <w:rPr>
                <w:sz w:val="20"/>
              </w:rPr>
            </w:pPr>
            <w:r>
              <w:rPr>
                <w:sz w:val="20"/>
              </w:rPr>
              <w:t>822-12</w:t>
            </w:r>
          </w:p>
        </w:tc>
        <w:tc>
          <w:tcPr>
            <w:tcW w:w="6410" w:type="dxa"/>
          </w:tcPr>
          <w:p>
            <w:pPr>
              <w:pStyle w:val="TableParagraph"/>
              <w:rPr>
                <w:sz w:val="20"/>
              </w:rPr>
            </w:pPr>
            <w:r>
              <w:rPr>
                <w:sz w:val="20"/>
              </w:rPr>
              <w:t>Heat Distribution Line</w:t>
            </w:r>
          </w:p>
        </w:tc>
      </w:tr>
      <w:tr>
        <w:trPr>
          <w:trHeight w:val="309" w:hRule="atLeast"/>
        </w:trPr>
        <w:tc>
          <w:tcPr>
            <w:tcW w:w="2341" w:type="dxa"/>
          </w:tcPr>
          <w:p>
            <w:pPr>
              <w:pStyle w:val="TableParagraph"/>
              <w:rPr>
                <w:sz w:val="20"/>
              </w:rPr>
            </w:pPr>
            <w:r>
              <w:rPr>
                <w:sz w:val="20"/>
              </w:rPr>
              <w:t>824-10</w:t>
            </w:r>
          </w:p>
        </w:tc>
        <w:tc>
          <w:tcPr>
            <w:tcW w:w="6410" w:type="dxa"/>
          </w:tcPr>
          <w:p>
            <w:pPr>
              <w:pStyle w:val="TableParagraph"/>
              <w:rPr>
                <w:sz w:val="20"/>
              </w:rPr>
            </w:pPr>
            <w:r>
              <w:rPr>
                <w:sz w:val="20"/>
              </w:rPr>
              <w:t>Heat Gas Distribution Line</w:t>
            </w:r>
          </w:p>
        </w:tc>
      </w:tr>
      <w:tr>
        <w:trPr>
          <w:trHeight w:val="309" w:hRule="atLeast"/>
        </w:trPr>
        <w:tc>
          <w:tcPr>
            <w:tcW w:w="2341" w:type="dxa"/>
          </w:tcPr>
          <w:p>
            <w:pPr>
              <w:pStyle w:val="TableParagraph"/>
              <w:rPr>
                <w:sz w:val="20"/>
              </w:rPr>
            </w:pPr>
            <w:r>
              <w:rPr>
                <w:sz w:val="20"/>
              </w:rPr>
              <w:t>827-20</w:t>
            </w:r>
          </w:p>
        </w:tc>
        <w:tc>
          <w:tcPr>
            <w:tcW w:w="6410" w:type="dxa"/>
          </w:tcPr>
          <w:p>
            <w:pPr>
              <w:pStyle w:val="TableParagraph"/>
              <w:rPr>
                <w:sz w:val="20"/>
              </w:rPr>
            </w:pPr>
            <w:r>
              <w:rPr>
                <w:sz w:val="20"/>
              </w:rPr>
              <w:t>Chilled Water and Refrigerant Distribution Line</w:t>
            </w:r>
          </w:p>
        </w:tc>
      </w:tr>
      <w:tr>
        <w:trPr>
          <w:trHeight w:val="312" w:hRule="atLeast"/>
        </w:trPr>
        <w:tc>
          <w:tcPr>
            <w:tcW w:w="2341" w:type="dxa"/>
          </w:tcPr>
          <w:p>
            <w:pPr>
              <w:pStyle w:val="TableParagraph"/>
              <w:spacing w:before="41"/>
              <w:rPr>
                <w:sz w:val="20"/>
              </w:rPr>
            </w:pPr>
            <w:r>
              <w:rPr>
                <w:sz w:val="20"/>
              </w:rPr>
              <w:t>842-10</w:t>
            </w:r>
          </w:p>
        </w:tc>
        <w:tc>
          <w:tcPr>
            <w:tcW w:w="6410" w:type="dxa"/>
          </w:tcPr>
          <w:p>
            <w:pPr>
              <w:pStyle w:val="TableParagraph"/>
              <w:spacing w:before="41"/>
              <w:rPr>
                <w:sz w:val="20"/>
              </w:rPr>
            </w:pPr>
            <w:r>
              <w:rPr>
                <w:sz w:val="20"/>
              </w:rPr>
              <w:t>Water Distribution Line, Potable</w:t>
            </w:r>
          </w:p>
        </w:tc>
      </w:tr>
      <w:tr>
        <w:trPr>
          <w:trHeight w:val="309" w:hRule="atLeast"/>
        </w:trPr>
        <w:tc>
          <w:tcPr>
            <w:tcW w:w="2341" w:type="dxa"/>
          </w:tcPr>
          <w:p>
            <w:pPr>
              <w:pStyle w:val="TableParagraph"/>
              <w:rPr>
                <w:sz w:val="20"/>
              </w:rPr>
            </w:pPr>
            <w:r>
              <w:rPr>
                <w:sz w:val="20"/>
              </w:rPr>
              <w:t>843-10</w:t>
            </w:r>
          </w:p>
        </w:tc>
        <w:tc>
          <w:tcPr>
            <w:tcW w:w="6410" w:type="dxa"/>
          </w:tcPr>
          <w:p>
            <w:pPr>
              <w:pStyle w:val="TableParagraph"/>
              <w:rPr>
                <w:sz w:val="20"/>
              </w:rPr>
            </w:pPr>
            <w:r>
              <w:rPr>
                <w:sz w:val="20"/>
              </w:rPr>
              <w:t>Water Distribution Line, Fire Protection</w:t>
            </w:r>
          </w:p>
        </w:tc>
      </w:tr>
      <w:tr>
        <w:trPr>
          <w:trHeight w:val="311" w:hRule="atLeast"/>
        </w:trPr>
        <w:tc>
          <w:tcPr>
            <w:tcW w:w="2341" w:type="dxa"/>
          </w:tcPr>
          <w:p>
            <w:pPr>
              <w:pStyle w:val="TableParagraph"/>
              <w:rPr>
                <w:sz w:val="20"/>
              </w:rPr>
            </w:pPr>
            <w:r>
              <w:rPr>
                <w:sz w:val="20"/>
              </w:rPr>
              <w:t>845-20</w:t>
            </w:r>
          </w:p>
        </w:tc>
        <w:tc>
          <w:tcPr>
            <w:tcW w:w="6410" w:type="dxa"/>
          </w:tcPr>
          <w:p>
            <w:pPr>
              <w:pStyle w:val="TableParagraph"/>
              <w:rPr>
                <w:sz w:val="20"/>
              </w:rPr>
            </w:pPr>
            <w:r>
              <w:rPr>
                <w:sz w:val="20"/>
              </w:rPr>
              <w:t>Water Distribution Line, Non-Potable</w:t>
            </w:r>
          </w:p>
        </w:tc>
      </w:tr>
    </w:tbl>
    <w:p>
      <w:pPr>
        <w:pStyle w:val="BodyText"/>
        <w:rPr>
          <w:b/>
          <w:sz w:val="20"/>
        </w:rPr>
      </w:pPr>
    </w:p>
    <w:p>
      <w:pPr>
        <w:spacing w:before="175"/>
        <w:ind w:left="3420" w:right="0" w:firstLine="0"/>
        <w:jc w:val="left"/>
        <w:rPr>
          <w:b/>
          <w:sz w:val="18"/>
        </w:rPr>
      </w:pPr>
      <w:bookmarkStart w:name="_bookmark6" w:id="11"/>
      <w:bookmarkEnd w:id="11"/>
      <w:r>
        <w:rPr/>
      </w:r>
      <w:r>
        <w:rPr>
          <w:b/>
          <w:sz w:val="18"/>
        </w:rPr>
        <w:t>Table 1-2: Applicable Equipment Uniformat</w:t>
      </w:r>
    </w:p>
    <w:p>
      <w:pPr>
        <w:pStyle w:val="BodyText"/>
        <w:spacing w:before="7"/>
        <w:rPr>
          <w:b/>
          <w:sz w:val="5"/>
        </w:rPr>
      </w:pPr>
    </w:p>
    <w:tbl>
      <w:tblPr>
        <w:tblW w:w="0" w:type="auto"/>
        <w:jc w:val="left"/>
        <w:tblInd w:w="59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1529"/>
        <w:gridCol w:w="4024"/>
        <w:gridCol w:w="4026"/>
      </w:tblGrid>
      <w:tr>
        <w:trPr>
          <w:trHeight w:val="309" w:hRule="atLeast"/>
        </w:trPr>
        <w:tc>
          <w:tcPr>
            <w:tcW w:w="1529" w:type="dxa"/>
            <w:shd w:val="clear" w:color="auto" w:fill="D9D9D9"/>
          </w:tcPr>
          <w:p>
            <w:pPr>
              <w:pStyle w:val="TableParagraph"/>
              <w:spacing w:before="35"/>
              <w:rPr>
                <w:b/>
                <w:sz w:val="20"/>
              </w:rPr>
            </w:pPr>
            <w:r>
              <w:rPr>
                <w:b/>
                <w:sz w:val="20"/>
              </w:rPr>
              <w:t>Uniformat</w:t>
            </w:r>
          </w:p>
        </w:tc>
        <w:tc>
          <w:tcPr>
            <w:tcW w:w="4024" w:type="dxa"/>
            <w:shd w:val="clear" w:color="auto" w:fill="D9D9D9"/>
          </w:tcPr>
          <w:p>
            <w:pPr>
              <w:pStyle w:val="TableParagraph"/>
              <w:spacing w:before="35"/>
              <w:rPr>
                <w:b/>
                <w:sz w:val="20"/>
              </w:rPr>
            </w:pPr>
            <w:r>
              <w:rPr>
                <w:b/>
                <w:sz w:val="20"/>
              </w:rPr>
              <w:t>Equipment Description</w:t>
            </w:r>
          </w:p>
        </w:tc>
        <w:tc>
          <w:tcPr>
            <w:tcW w:w="4026" w:type="dxa"/>
            <w:shd w:val="clear" w:color="auto" w:fill="D9D9D9"/>
          </w:tcPr>
          <w:p>
            <w:pPr>
              <w:pStyle w:val="TableParagraph"/>
              <w:spacing w:before="35"/>
              <w:ind w:left="106"/>
              <w:rPr>
                <w:b/>
                <w:sz w:val="20"/>
              </w:rPr>
            </w:pPr>
            <w:r>
              <w:rPr>
                <w:b/>
                <w:sz w:val="20"/>
              </w:rPr>
              <w:t>Feature ID</w:t>
            </w:r>
          </w:p>
        </w:tc>
      </w:tr>
      <w:tr>
        <w:trPr>
          <w:trHeight w:val="311" w:hRule="atLeast"/>
        </w:trPr>
        <w:tc>
          <w:tcPr>
            <w:tcW w:w="1529" w:type="dxa"/>
          </w:tcPr>
          <w:p>
            <w:pPr>
              <w:pStyle w:val="TableParagraph"/>
              <w:spacing w:before="40"/>
              <w:rPr>
                <w:sz w:val="20"/>
              </w:rPr>
            </w:pPr>
            <w:r>
              <w:rPr>
                <w:sz w:val="20"/>
              </w:rPr>
              <w:t>D509081</w:t>
            </w:r>
          </w:p>
        </w:tc>
        <w:tc>
          <w:tcPr>
            <w:tcW w:w="4024" w:type="dxa"/>
          </w:tcPr>
          <w:p>
            <w:pPr>
              <w:pStyle w:val="TableParagraph"/>
              <w:spacing w:before="40"/>
              <w:rPr>
                <w:sz w:val="20"/>
              </w:rPr>
            </w:pPr>
            <w:r>
              <w:rPr>
                <w:sz w:val="20"/>
              </w:rPr>
              <w:t>Data Acquisition Server</w:t>
            </w:r>
          </w:p>
        </w:tc>
        <w:tc>
          <w:tcPr>
            <w:tcW w:w="4026" w:type="dxa"/>
          </w:tcPr>
          <w:p>
            <w:pPr>
              <w:pStyle w:val="TableParagraph"/>
              <w:spacing w:before="40"/>
              <w:ind w:left="106"/>
              <w:rPr>
                <w:sz w:val="20"/>
              </w:rPr>
            </w:pPr>
            <w:r>
              <w:rPr>
                <w:sz w:val="20"/>
              </w:rPr>
              <w:t>DAS</w:t>
            </w:r>
          </w:p>
        </w:tc>
      </w:tr>
      <w:tr>
        <w:trPr>
          <w:trHeight w:val="309" w:hRule="atLeast"/>
        </w:trPr>
        <w:tc>
          <w:tcPr>
            <w:tcW w:w="1529" w:type="dxa"/>
          </w:tcPr>
          <w:p>
            <w:pPr>
              <w:pStyle w:val="TableParagraph"/>
              <w:rPr>
                <w:sz w:val="20"/>
              </w:rPr>
            </w:pPr>
            <w:r>
              <w:rPr>
                <w:sz w:val="20"/>
              </w:rPr>
              <w:t>D501081</w:t>
            </w:r>
          </w:p>
        </w:tc>
        <w:tc>
          <w:tcPr>
            <w:tcW w:w="4024" w:type="dxa"/>
          </w:tcPr>
          <w:p>
            <w:pPr>
              <w:pStyle w:val="TableParagraph"/>
              <w:rPr>
                <w:sz w:val="20"/>
              </w:rPr>
            </w:pPr>
            <w:r>
              <w:rPr>
                <w:sz w:val="20"/>
              </w:rPr>
              <w:t>Electrical Advanced Meter</w:t>
            </w:r>
          </w:p>
        </w:tc>
        <w:tc>
          <w:tcPr>
            <w:tcW w:w="4026" w:type="dxa"/>
          </w:tcPr>
          <w:p>
            <w:pPr>
              <w:pStyle w:val="TableParagraph"/>
              <w:ind w:left="106"/>
              <w:rPr>
                <w:sz w:val="20"/>
              </w:rPr>
            </w:pPr>
            <w:r>
              <w:rPr>
                <w:sz w:val="20"/>
              </w:rPr>
              <w:t>EAM</w:t>
            </w:r>
          </w:p>
        </w:tc>
      </w:tr>
      <w:tr>
        <w:trPr>
          <w:trHeight w:val="309" w:hRule="atLeast"/>
        </w:trPr>
        <w:tc>
          <w:tcPr>
            <w:tcW w:w="1529" w:type="dxa"/>
          </w:tcPr>
          <w:p>
            <w:pPr>
              <w:pStyle w:val="TableParagraph"/>
              <w:rPr>
                <w:sz w:val="20"/>
              </w:rPr>
            </w:pPr>
            <w:r>
              <w:rPr>
                <w:sz w:val="20"/>
              </w:rPr>
              <w:t>D301081</w:t>
            </w:r>
          </w:p>
        </w:tc>
        <w:tc>
          <w:tcPr>
            <w:tcW w:w="4024" w:type="dxa"/>
          </w:tcPr>
          <w:p>
            <w:pPr>
              <w:pStyle w:val="TableParagraph"/>
              <w:rPr>
                <w:sz w:val="20"/>
              </w:rPr>
            </w:pPr>
            <w:r>
              <w:rPr>
                <w:sz w:val="20"/>
              </w:rPr>
              <w:t>Gas Advanced Meter</w:t>
            </w:r>
          </w:p>
        </w:tc>
        <w:tc>
          <w:tcPr>
            <w:tcW w:w="4026" w:type="dxa"/>
          </w:tcPr>
          <w:p>
            <w:pPr>
              <w:pStyle w:val="TableParagraph"/>
              <w:ind w:left="106"/>
              <w:rPr>
                <w:sz w:val="20"/>
              </w:rPr>
            </w:pPr>
            <w:r>
              <w:rPr>
                <w:sz w:val="20"/>
              </w:rPr>
              <w:t>GAM</w:t>
            </w:r>
          </w:p>
        </w:tc>
      </w:tr>
      <w:tr>
        <w:trPr>
          <w:trHeight w:val="311" w:hRule="atLeast"/>
        </w:trPr>
        <w:tc>
          <w:tcPr>
            <w:tcW w:w="1529" w:type="dxa"/>
          </w:tcPr>
          <w:p>
            <w:pPr>
              <w:pStyle w:val="TableParagraph"/>
              <w:spacing w:before="40"/>
              <w:rPr>
                <w:sz w:val="20"/>
              </w:rPr>
            </w:pPr>
            <w:r>
              <w:rPr>
                <w:sz w:val="20"/>
              </w:rPr>
              <w:t>D202081</w:t>
            </w:r>
          </w:p>
        </w:tc>
        <w:tc>
          <w:tcPr>
            <w:tcW w:w="4024" w:type="dxa"/>
          </w:tcPr>
          <w:p>
            <w:pPr>
              <w:pStyle w:val="TableParagraph"/>
              <w:spacing w:before="40"/>
              <w:rPr>
                <w:sz w:val="20"/>
              </w:rPr>
            </w:pPr>
            <w:r>
              <w:rPr>
                <w:sz w:val="20"/>
              </w:rPr>
              <w:t>Water Advanced Meter</w:t>
            </w:r>
          </w:p>
        </w:tc>
        <w:tc>
          <w:tcPr>
            <w:tcW w:w="4026" w:type="dxa"/>
          </w:tcPr>
          <w:p>
            <w:pPr>
              <w:pStyle w:val="TableParagraph"/>
              <w:spacing w:before="40"/>
              <w:ind w:left="106"/>
              <w:rPr>
                <w:sz w:val="20"/>
              </w:rPr>
            </w:pPr>
            <w:r>
              <w:rPr>
                <w:sz w:val="20"/>
              </w:rPr>
              <w:t>WAM</w:t>
            </w:r>
          </w:p>
        </w:tc>
      </w:tr>
      <w:tr>
        <w:trPr>
          <w:trHeight w:val="309" w:hRule="atLeast"/>
        </w:trPr>
        <w:tc>
          <w:tcPr>
            <w:tcW w:w="1529" w:type="dxa"/>
          </w:tcPr>
          <w:p>
            <w:pPr>
              <w:pStyle w:val="TableParagraph"/>
              <w:rPr>
                <w:sz w:val="20"/>
              </w:rPr>
            </w:pPr>
            <w:r>
              <w:rPr>
                <w:sz w:val="20"/>
              </w:rPr>
              <w:t>D509082</w:t>
            </w:r>
          </w:p>
        </w:tc>
        <w:tc>
          <w:tcPr>
            <w:tcW w:w="4024" w:type="dxa"/>
          </w:tcPr>
          <w:p>
            <w:pPr>
              <w:pStyle w:val="TableParagraph"/>
              <w:rPr>
                <w:sz w:val="20"/>
              </w:rPr>
            </w:pPr>
            <w:r>
              <w:rPr>
                <w:sz w:val="20"/>
              </w:rPr>
              <w:t>Transceiver (Modhopper)</w:t>
            </w:r>
          </w:p>
        </w:tc>
        <w:tc>
          <w:tcPr>
            <w:tcW w:w="4026" w:type="dxa"/>
          </w:tcPr>
          <w:p>
            <w:pPr>
              <w:pStyle w:val="TableParagraph"/>
              <w:ind w:left="106"/>
              <w:rPr>
                <w:sz w:val="20"/>
              </w:rPr>
            </w:pPr>
            <w:r>
              <w:rPr>
                <w:sz w:val="20"/>
              </w:rPr>
              <w:t>XCVR</w:t>
            </w:r>
          </w:p>
        </w:tc>
      </w:tr>
      <w:tr>
        <w:trPr>
          <w:trHeight w:val="311" w:hRule="atLeast"/>
        </w:trPr>
        <w:tc>
          <w:tcPr>
            <w:tcW w:w="1529" w:type="dxa"/>
          </w:tcPr>
          <w:p>
            <w:pPr>
              <w:pStyle w:val="TableParagraph"/>
              <w:rPr>
                <w:sz w:val="20"/>
              </w:rPr>
            </w:pPr>
            <w:r>
              <w:rPr>
                <w:sz w:val="20"/>
              </w:rPr>
              <w:t>D509083</w:t>
            </w:r>
          </w:p>
        </w:tc>
        <w:tc>
          <w:tcPr>
            <w:tcW w:w="4024" w:type="dxa"/>
          </w:tcPr>
          <w:p>
            <w:pPr>
              <w:pStyle w:val="TableParagraph"/>
              <w:rPr>
                <w:sz w:val="20"/>
              </w:rPr>
            </w:pPr>
            <w:r>
              <w:rPr>
                <w:sz w:val="20"/>
              </w:rPr>
              <w:t>I/O Flex Module</w:t>
            </w:r>
          </w:p>
        </w:tc>
        <w:tc>
          <w:tcPr>
            <w:tcW w:w="4026" w:type="dxa"/>
          </w:tcPr>
          <w:p>
            <w:pPr>
              <w:pStyle w:val="TableParagraph"/>
              <w:ind w:left="106"/>
              <w:rPr>
                <w:sz w:val="20"/>
              </w:rPr>
            </w:pPr>
            <w:r>
              <w:rPr>
                <w:sz w:val="20"/>
              </w:rPr>
              <w:t>IOM</w:t>
            </w:r>
          </w:p>
        </w:tc>
      </w:tr>
    </w:tbl>
    <w:p>
      <w:pPr>
        <w:pStyle w:val="BodyText"/>
        <w:rPr>
          <w:b/>
          <w:sz w:val="20"/>
        </w:rPr>
      </w:pPr>
    </w:p>
    <w:p>
      <w:pPr>
        <w:pStyle w:val="BodyText"/>
        <w:rPr>
          <w:b/>
          <w:sz w:val="26"/>
        </w:rPr>
      </w:pPr>
    </w:p>
    <w:p>
      <w:pPr>
        <w:pStyle w:val="Heading2"/>
        <w:numPr>
          <w:ilvl w:val="1"/>
          <w:numId w:val="4"/>
        </w:numPr>
        <w:tabs>
          <w:tab w:pos="1156" w:val="left" w:leader="none"/>
          <w:tab w:pos="1157" w:val="left" w:leader="none"/>
        </w:tabs>
        <w:spacing w:line="240" w:lineRule="auto" w:before="1" w:after="0"/>
        <w:ind w:left="1156" w:right="0" w:hanging="576"/>
        <w:jc w:val="left"/>
      </w:pPr>
      <w:bookmarkStart w:name="_bookmark7" w:id="12"/>
      <w:bookmarkEnd w:id="12"/>
      <w:r>
        <w:rPr>
          <w:b w:val="0"/>
        </w:rPr>
      </w:r>
      <w:bookmarkStart w:name="_bookmark7" w:id="13"/>
      <w:bookmarkEnd w:id="13"/>
      <w:r>
        <w:rPr/>
        <w:t>R</w:t>
      </w:r>
      <w:r>
        <w:rPr/>
        <w:t>oles and</w:t>
      </w:r>
      <w:r>
        <w:rPr>
          <w:spacing w:val="-3"/>
        </w:rPr>
        <w:t> </w:t>
      </w:r>
      <w:r>
        <w:rPr/>
        <w:t>Responsibilities</w:t>
      </w:r>
    </w:p>
    <w:p>
      <w:pPr>
        <w:pStyle w:val="BodyText"/>
        <w:spacing w:line="276" w:lineRule="auto" w:before="117"/>
        <w:ind w:left="580" w:right="817"/>
      </w:pPr>
      <w:r>
        <w:rPr/>
        <w:t>The technical authority for this configuration standard is the SILC Commander. </w:t>
      </w:r>
      <w:hyperlink w:history="true" w:anchor="_bookmark8">
        <w:r>
          <w:rPr/>
          <w:t>Table 1-3</w:t>
        </w:r>
      </w:hyperlink>
      <w:r>
        <w:rPr/>
        <w:t> enumerates the roles and responsibilities for establishing the standards defined in this technical order. The following “RASCI” codes are used:</w:t>
      </w:r>
    </w:p>
    <w:p>
      <w:pPr>
        <w:pStyle w:val="BodyText"/>
        <w:spacing w:before="121"/>
        <w:ind w:left="1300"/>
      </w:pPr>
      <w:r>
        <w:rPr>
          <w:shd w:fill="94B3D6" w:color="auto" w:val="clear"/>
        </w:rPr>
        <w:t>R - Responsible</w:t>
      </w:r>
      <w:r>
        <w:rPr/>
        <w:t> – Those who do the work (typically only one Responsible per task).</w:t>
      </w:r>
    </w:p>
    <w:p>
      <w:pPr>
        <w:pStyle w:val="BodyText"/>
        <w:spacing w:line="276" w:lineRule="auto" w:before="158"/>
        <w:ind w:left="1300" w:right="1174"/>
      </w:pPr>
      <w:r>
        <w:rPr>
          <w:shd w:fill="D99493" w:color="auto" w:val="clear"/>
        </w:rPr>
        <w:t>A - Approver</w:t>
      </w:r>
      <w:r>
        <w:rPr/>
        <w:t> – The one ultimately accountable for the deliverable or task (must have only one Approver per task).</w:t>
      </w:r>
    </w:p>
    <w:p>
      <w:pPr>
        <w:pStyle w:val="BodyText"/>
        <w:spacing w:line="276" w:lineRule="auto" w:before="121"/>
        <w:ind w:left="1300" w:right="881"/>
      </w:pPr>
      <w:r>
        <w:rPr>
          <w:shd w:fill="FAD3B4" w:color="auto" w:val="clear"/>
        </w:rPr>
        <w:t>S - Supports</w:t>
      </w:r>
      <w:r>
        <w:rPr/>
        <w:t> – Those who provide resources, information, expertise or other assistance in completing the task.</w:t>
      </w:r>
    </w:p>
    <w:p>
      <w:pPr>
        <w:pStyle w:val="BodyText"/>
        <w:spacing w:before="119"/>
        <w:ind w:left="1300"/>
      </w:pPr>
      <w:r>
        <w:rPr>
          <w:shd w:fill="C2D59B" w:color="auto" w:val="clear"/>
        </w:rPr>
        <w:t>C - Consulted</w:t>
      </w:r>
      <w:r>
        <w:rPr/>
        <w:t> – Those whose opinions are sought (two-way communications).</w:t>
      </w:r>
    </w:p>
    <w:p>
      <w:pPr>
        <w:pStyle w:val="BodyText"/>
        <w:spacing w:before="158"/>
        <w:ind w:left="1300"/>
      </w:pPr>
      <w:r>
        <w:rPr>
          <w:shd w:fill="FFFF66" w:color="auto" w:val="clear"/>
        </w:rPr>
        <w:t>I - Informed</w:t>
      </w:r>
      <w:r>
        <w:rPr/>
        <w:t> – Those who are kept up-to-date on progress (one-way communication).</w:t>
      </w:r>
    </w:p>
    <w:p>
      <w:pPr>
        <w:spacing w:after="0"/>
        <w:sectPr>
          <w:pgSz w:w="12240" w:h="15840"/>
          <w:pgMar w:header="724" w:footer="1020" w:top="1220" w:bottom="1220" w:left="860" w:right="680"/>
        </w:sectPr>
      </w:pPr>
    </w:p>
    <w:p>
      <w:pPr>
        <w:pStyle w:val="BodyText"/>
        <w:spacing w:before="2"/>
        <w:rPr>
          <w:sz w:val="10"/>
        </w:rPr>
      </w:pPr>
    </w:p>
    <w:p>
      <w:pPr>
        <w:spacing w:before="94"/>
        <w:ind w:left="31" w:right="209" w:firstLine="0"/>
        <w:jc w:val="center"/>
        <w:rPr>
          <w:b/>
          <w:sz w:val="18"/>
        </w:rPr>
      </w:pPr>
      <w:bookmarkStart w:name="_bookmark8" w:id="14"/>
      <w:bookmarkEnd w:id="14"/>
      <w:r>
        <w:rPr/>
      </w:r>
      <w:r>
        <w:rPr>
          <w:b/>
          <w:sz w:val="18"/>
        </w:rPr>
        <w:t>Table 1-3: Roles and Responsibilities</w:t>
      </w:r>
    </w:p>
    <w:p>
      <w:pPr>
        <w:pStyle w:val="BodyText"/>
        <w:spacing w:before="8"/>
        <w:rPr>
          <w:b/>
          <w:sz w:val="5"/>
        </w:rPr>
      </w:pPr>
    </w:p>
    <w:tbl>
      <w:tblPr>
        <w:tblW w:w="0" w:type="auto"/>
        <w:jc w:val="left"/>
        <w:tblInd w:w="112"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0" w:type="dxa"/>
          <w:left w:w="0" w:type="dxa"/>
          <w:bottom w:w="0" w:type="dxa"/>
          <w:right w:w="0" w:type="dxa"/>
        </w:tblCellMar>
        <w:tblLook w:val="01E0"/>
      </w:tblPr>
      <w:tblGrid>
        <w:gridCol w:w="3932"/>
        <w:gridCol w:w="629"/>
        <w:gridCol w:w="629"/>
        <w:gridCol w:w="626"/>
        <w:gridCol w:w="628"/>
        <w:gridCol w:w="629"/>
        <w:gridCol w:w="626"/>
        <w:gridCol w:w="628"/>
        <w:gridCol w:w="744"/>
        <w:gridCol w:w="686"/>
      </w:tblGrid>
      <w:tr>
        <w:trPr>
          <w:trHeight w:val="2234" w:hRule="atLeast"/>
        </w:trPr>
        <w:tc>
          <w:tcPr>
            <w:tcW w:w="3932" w:type="dxa"/>
            <w:tcBorders>
              <w:right w:val="single" w:sz="4" w:space="0" w:color="A6A6A6"/>
            </w:tcBorders>
            <w:shd w:val="clear" w:color="auto" w:fill="D9D9D9"/>
          </w:tcPr>
          <w:p>
            <w:pPr>
              <w:pStyle w:val="TableParagraph"/>
              <w:spacing w:before="0"/>
              <w:ind w:left="0"/>
              <w:rPr>
                <w:b/>
                <w:sz w:val="22"/>
              </w:rPr>
            </w:pPr>
          </w:p>
          <w:p>
            <w:pPr>
              <w:pStyle w:val="TableParagraph"/>
              <w:spacing w:before="0"/>
              <w:ind w:left="0"/>
              <w:rPr>
                <w:b/>
                <w:sz w:val="22"/>
              </w:rPr>
            </w:pPr>
          </w:p>
          <w:p>
            <w:pPr>
              <w:pStyle w:val="TableParagraph"/>
              <w:spacing w:before="0"/>
              <w:ind w:left="0"/>
              <w:rPr>
                <w:b/>
                <w:sz w:val="22"/>
              </w:rPr>
            </w:pPr>
          </w:p>
          <w:p>
            <w:pPr>
              <w:pStyle w:val="TableParagraph"/>
              <w:spacing w:before="0"/>
              <w:ind w:left="0"/>
              <w:rPr>
                <w:b/>
                <w:sz w:val="22"/>
              </w:rPr>
            </w:pPr>
          </w:p>
          <w:p>
            <w:pPr>
              <w:pStyle w:val="TableParagraph"/>
              <w:spacing w:before="0"/>
              <w:ind w:left="0"/>
              <w:rPr>
                <w:b/>
                <w:sz w:val="22"/>
              </w:rPr>
            </w:pPr>
          </w:p>
          <w:p>
            <w:pPr>
              <w:pStyle w:val="TableParagraph"/>
              <w:spacing w:before="0"/>
              <w:ind w:left="0"/>
              <w:rPr>
                <w:b/>
                <w:sz w:val="22"/>
              </w:rPr>
            </w:pPr>
          </w:p>
          <w:p>
            <w:pPr>
              <w:pStyle w:val="TableParagraph"/>
              <w:spacing w:before="0"/>
              <w:ind w:left="0"/>
              <w:rPr>
                <w:b/>
                <w:sz w:val="22"/>
              </w:rPr>
            </w:pPr>
          </w:p>
          <w:p>
            <w:pPr>
              <w:pStyle w:val="TableParagraph"/>
              <w:spacing w:before="160"/>
              <w:ind w:left="117"/>
              <w:rPr>
                <w:b/>
                <w:sz w:val="20"/>
              </w:rPr>
            </w:pPr>
            <w:r>
              <w:rPr>
                <w:b/>
                <w:sz w:val="20"/>
              </w:rPr>
              <w:t>Task, Deliverable, or Responsibility</w:t>
            </w:r>
          </w:p>
        </w:tc>
        <w:tc>
          <w:tcPr>
            <w:tcW w:w="629" w:type="dxa"/>
            <w:tcBorders>
              <w:left w:val="single" w:sz="4" w:space="0" w:color="A6A6A6"/>
              <w:right w:val="single" w:sz="4" w:space="0" w:color="A6A6A6"/>
            </w:tcBorders>
            <w:shd w:val="clear" w:color="auto" w:fill="D9D9D9"/>
            <w:textDirection w:val="btLr"/>
          </w:tcPr>
          <w:p>
            <w:pPr>
              <w:pStyle w:val="TableParagraph"/>
              <w:spacing w:before="151"/>
              <w:ind w:left="28"/>
              <w:rPr>
                <w:b/>
                <w:sz w:val="20"/>
              </w:rPr>
            </w:pPr>
            <w:r>
              <w:rPr>
                <w:b/>
                <w:sz w:val="20"/>
              </w:rPr>
              <w:t>SILC - BOD</w:t>
            </w:r>
          </w:p>
        </w:tc>
        <w:tc>
          <w:tcPr>
            <w:tcW w:w="629" w:type="dxa"/>
            <w:tcBorders>
              <w:left w:val="single" w:sz="4" w:space="0" w:color="A6A6A6"/>
              <w:right w:val="single" w:sz="4" w:space="0" w:color="A6A6A6"/>
            </w:tcBorders>
            <w:shd w:val="clear" w:color="auto" w:fill="D9D9D9"/>
            <w:textDirection w:val="btLr"/>
          </w:tcPr>
          <w:p>
            <w:pPr>
              <w:pStyle w:val="TableParagraph"/>
              <w:spacing w:before="151"/>
              <w:ind w:left="28"/>
              <w:rPr>
                <w:b/>
                <w:sz w:val="20"/>
              </w:rPr>
            </w:pPr>
            <w:r>
              <w:rPr>
                <w:b/>
                <w:sz w:val="20"/>
              </w:rPr>
              <w:t>SILC – ESD - ENERGY</w:t>
            </w:r>
          </w:p>
        </w:tc>
        <w:tc>
          <w:tcPr>
            <w:tcW w:w="626" w:type="dxa"/>
            <w:tcBorders>
              <w:left w:val="single" w:sz="4" w:space="0" w:color="A6A6A6"/>
              <w:right w:val="single" w:sz="4" w:space="0" w:color="A6A6A6"/>
            </w:tcBorders>
            <w:shd w:val="clear" w:color="auto" w:fill="D9D9D9"/>
            <w:textDirection w:val="btLr"/>
          </w:tcPr>
          <w:p>
            <w:pPr>
              <w:pStyle w:val="TableParagraph"/>
              <w:spacing w:before="151"/>
              <w:ind w:left="28"/>
              <w:rPr>
                <w:b/>
                <w:sz w:val="20"/>
              </w:rPr>
            </w:pPr>
            <w:r>
              <w:rPr>
                <w:b/>
                <w:sz w:val="20"/>
              </w:rPr>
              <w:t>MSPL PLM</w:t>
            </w:r>
          </w:p>
        </w:tc>
        <w:tc>
          <w:tcPr>
            <w:tcW w:w="628" w:type="dxa"/>
            <w:tcBorders>
              <w:left w:val="single" w:sz="4" w:space="0" w:color="A6A6A6"/>
              <w:right w:val="single" w:sz="4" w:space="0" w:color="A6A6A6"/>
            </w:tcBorders>
            <w:shd w:val="clear" w:color="auto" w:fill="D9D9D9"/>
            <w:textDirection w:val="btLr"/>
          </w:tcPr>
          <w:p>
            <w:pPr>
              <w:pStyle w:val="TableParagraph"/>
              <w:spacing w:before="151"/>
              <w:ind w:left="28"/>
              <w:rPr>
                <w:b/>
                <w:sz w:val="20"/>
              </w:rPr>
            </w:pPr>
            <w:r>
              <w:rPr>
                <w:b/>
                <w:sz w:val="20"/>
              </w:rPr>
              <w:t>CIVW ALM</w:t>
            </w:r>
          </w:p>
        </w:tc>
        <w:tc>
          <w:tcPr>
            <w:tcW w:w="629" w:type="dxa"/>
            <w:tcBorders>
              <w:left w:val="single" w:sz="4" w:space="0" w:color="A6A6A6"/>
              <w:right w:val="single" w:sz="4" w:space="0" w:color="A6A6A6"/>
            </w:tcBorders>
            <w:shd w:val="clear" w:color="auto" w:fill="D9D9D9"/>
            <w:textDirection w:val="btLr"/>
          </w:tcPr>
          <w:p>
            <w:pPr>
              <w:pStyle w:val="TableParagraph"/>
              <w:spacing w:before="152"/>
              <w:ind w:left="28"/>
              <w:rPr>
                <w:b/>
                <w:sz w:val="20"/>
              </w:rPr>
            </w:pPr>
            <w:r>
              <w:rPr>
                <w:b/>
                <w:sz w:val="20"/>
              </w:rPr>
              <w:t>DESIGN ENGINEER</w:t>
            </w:r>
          </w:p>
        </w:tc>
        <w:tc>
          <w:tcPr>
            <w:tcW w:w="626" w:type="dxa"/>
            <w:tcBorders>
              <w:left w:val="single" w:sz="4" w:space="0" w:color="A6A6A6"/>
              <w:right w:val="single" w:sz="4" w:space="0" w:color="A6A6A6"/>
            </w:tcBorders>
            <w:shd w:val="clear" w:color="auto" w:fill="D9D9D9"/>
            <w:textDirection w:val="btLr"/>
          </w:tcPr>
          <w:p>
            <w:pPr>
              <w:pStyle w:val="TableParagraph"/>
              <w:spacing w:before="152"/>
              <w:ind w:left="28"/>
              <w:rPr>
                <w:b/>
                <w:sz w:val="20"/>
              </w:rPr>
            </w:pPr>
            <w:r>
              <w:rPr>
                <w:b/>
                <w:sz w:val="20"/>
              </w:rPr>
              <w:t>FE / EPO</w:t>
            </w:r>
          </w:p>
        </w:tc>
        <w:tc>
          <w:tcPr>
            <w:tcW w:w="628" w:type="dxa"/>
            <w:tcBorders>
              <w:left w:val="single" w:sz="4" w:space="0" w:color="A6A6A6"/>
              <w:right w:val="single" w:sz="4" w:space="0" w:color="A6A6A6"/>
            </w:tcBorders>
            <w:shd w:val="clear" w:color="auto" w:fill="D9D9D9"/>
            <w:textDirection w:val="btLr"/>
          </w:tcPr>
          <w:p>
            <w:pPr>
              <w:pStyle w:val="TableParagraph"/>
              <w:spacing w:before="153"/>
              <w:ind w:left="28"/>
              <w:rPr>
                <w:b/>
                <w:sz w:val="20"/>
              </w:rPr>
            </w:pPr>
            <w:r>
              <w:rPr>
                <w:b/>
                <w:sz w:val="20"/>
              </w:rPr>
              <w:t>CG-46</w:t>
            </w:r>
          </w:p>
        </w:tc>
        <w:tc>
          <w:tcPr>
            <w:tcW w:w="744" w:type="dxa"/>
            <w:tcBorders>
              <w:left w:val="single" w:sz="4" w:space="0" w:color="A6A6A6"/>
              <w:right w:val="single" w:sz="4" w:space="0" w:color="A6A6A6"/>
            </w:tcBorders>
            <w:shd w:val="clear" w:color="auto" w:fill="D9D9D9"/>
            <w:textDirection w:val="btLr"/>
          </w:tcPr>
          <w:p>
            <w:pPr>
              <w:pStyle w:val="TableParagraph"/>
              <w:spacing w:before="153"/>
              <w:ind w:left="28"/>
              <w:rPr>
                <w:b/>
                <w:sz w:val="20"/>
              </w:rPr>
            </w:pPr>
            <w:r>
              <w:rPr>
                <w:b/>
                <w:sz w:val="20"/>
              </w:rPr>
              <w:t>Contractor</w:t>
            </w:r>
          </w:p>
        </w:tc>
        <w:tc>
          <w:tcPr>
            <w:tcW w:w="686" w:type="dxa"/>
            <w:tcBorders>
              <w:left w:val="single" w:sz="4" w:space="0" w:color="A6A6A6"/>
              <w:right w:val="single" w:sz="4" w:space="0" w:color="A6A6A6"/>
            </w:tcBorders>
            <w:shd w:val="clear" w:color="auto" w:fill="D9D9D9"/>
            <w:textDirection w:val="btLr"/>
          </w:tcPr>
          <w:p>
            <w:pPr>
              <w:pStyle w:val="TableParagraph"/>
              <w:spacing w:before="154"/>
              <w:ind w:left="28"/>
              <w:rPr>
                <w:b/>
                <w:sz w:val="20"/>
              </w:rPr>
            </w:pPr>
            <w:r>
              <w:rPr>
                <w:b/>
                <w:sz w:val="20"/>
              </w:rPr>
              <w:t>CG-6</w:t>
            </w:r>
          </w:p>
        </w:tc>
      </w:tr>
      <w:tr>
        <w:trPr>
          <w:trHeight w:val="419" w:hRule="atLeast"/>
        </w:trPr>
        <w:tc>
          <w:tcPr>
            <w:tcW w:w="3932" w:type="dxa"/>
            <w:tcBorders>
              <w:left w:val="single" w:sz="4" w:space="0" w:color="BEBEBE"/>
              <w:bottom w:val="single" w:sz="4" w:space="0" w:color="BEBEBE"/>
              <w:right w:val="single" w:sz="4" w:space="0" w:color="BEBEBE"/>
            </w:tcBorders>
          </w:tcPr>
          <w:p>
            <w:pPr>
              <w:pStyle w:val="TableParagraph"/>
              <w:spacing w:before="93"/>
              <w:ind w:left="114"/>
              <w:rPr>
                <w:sz w:val="20"/>
              </w:rPr>
            </w:pPr>
            <w:r>
              <w:rPr>
                <w:sz w:val="20"/>
              </w:rPr>
              <w:t>Establish Configuration Standards</w:t>
            </w:r>
          </w:p>
        </w:tc>
        <w:tc>
          <w:tcPr>
            <w:tcW w:w="629" w:type="dxa"/>
            <w:tcBorders>
              <w:left w:val="single" w:sz="4" w:space="0" w:color="BEBEBE"/>
              <w:bottom w:val="single" w:sz="4" w:space="0" w:color="BEBEBE"/>
              <w:right w:val="single" w:sz="6" w:space="0" w:color="BEBEBE"/>
            </w:tcBorders>
            <w:shd w:val="clear" w:color="auto" w:fill="FFFF66"/>
          </w:tcPr>
          <w:p>
            <w:pPr>
              <w:pStyle w:val="TableParagraph"/>
              <w:spacing w:before="93"/>
              <w:ind w:left="10"/>
              <w:jc w:val="center"/>
              <w:rPr>
                <w:sz w:val="20"/>
              </w:rPr>
            </w:pPr>
            <w:r>
              <w:rPr>
                <w:w w:val="99"/>
                <w:sz w:val="20"/>
              </w:rPr>
              <w:t>I</w:t>
            </w:r>
          </w:p>
        </w:tc>
        <w:tc>
          <w:tcPr>
            <w:tcW w:w="629" w:type="dxa"/>
            <w:tcBorders>
              <w:left w:val="single" w:sz="6" w:space="0" w:color="BEBEBE"/>
              <w:bottom w:val="single" w:sz="4" w:space="0" w:color="BEBEBE"/>
              <w:right w:val="single" w:sz="4" w:space="0" w:color="BEBEBE"/>
            </w:tcBorders>
            <w:shd w:val="clear" w:color="auto" w:fill="C2D59B"/>
          </w:tcPr>
          <w:p>
            <w:pPr>
              <w:pStyle w:val="TableParagraph"/>
              <w:spacing w:before="93"/>
              <w:ind w:left="7"/>
              <w:jc w:val="center"/>
              <w:rPr>
                <w:sz w:val="20"/>
              </w:rPr>
            </w:pPr>
            <w:r>
              <w:rPr>
                <w:w w:val="99"/>
                <w:sz w:val="20"/>
              </w:rPr>
              <w:t>C</w:t>
            </w:r>
          </w:p>
        </w:tc>
        <w:tc>
          <w:tcPr>
            <w:tcW w:w="626" w:type="dxa"/>
            <w:tcBorders>
              <w:left w:val="single" w:sz="4" w:space="0" w:color="BEBEBE"/>
              <w:bottom w:val="single" w:sz="4" w:space="0" w:color="BEBEBE"/>
              <w:right w:val="single" w:sz="4" w:space="0" w:color="BEBEBE"/>
            </w:tcBorders>
            <w:shd w:val="clear" w:color="auto" w:fill="D99493"/>
          </w:tcPr>
          <w:p>
            <w:pPr>
              <w:pStyle w:val="TableParagraph"/>
              <w:spacing w:before="93"/>
              <w:ind w:left="11"/>
              <w:jc w:val="center"/>
              <w:rPr>
                <w:sz w:val="20"/>
              </w:rPr>
            </w:pPr>
            <w:r>
              <w:rPr>
                <w:w w:val="99"/>
                <w:sz w:val="20"/>
              </w:rPr>
              <w:t>A</w:t>
            </w:r>
          </w:p>
        </w:tc>
        <w:tc>
          <w:tcPr>
            <w:tcW w:w="628" w:type="dxa"/>
            <w:tcBorders>
              <w:left w:val="single" w:sz="4" w:space="0" w:color="BEBEBE"/>
              <w:bottom w:val="single" w:sz="4" w:space="0" w:color="BEBEBE"/>
              <w:right w:val="single" w:sz="4" w:space="0" w:color="BEBEBE"/>
            </w:tcBorders>
            <w:shd w:val="clear" w:color="auto" w:fill="8DB3E1"/>
          </w:tcPr>
          <w:p>
            <w:pPr>
              <w:pStyle w:val="TableParagraph"/>
              <w:spacing w:before="93"/>
              <w:ind w:left="242"/>
              <w:rPr>
                <w:sz w:val="20"/>
              </w:rPr>
            </w:pPr>
            <w:r>
              <w:rPr>
                <w:w w:val="99"/>
                <w:sz w:val="20"/>
              </w:rPr>
              <w:t>R</w:t>
            </w:r>
          </w:p>
        </w:tc>
        <w:tc>
          <w:tcPr>
            <w:tcW w:w="629" w:type="dxa"/>
            <w:tcBorders>
              <w:left w:val="single" w:sz="4" w:space="0" w:color="BEBEBE"/>
              <w:bottom w:val="single" w:sz="4" w:space="0" w:color="BEBEBE"/>
              <w:right w:val="single" w:sz="4" w:space="0" w:color="BEBEBE"/>
            </w:tcBorders>
            <w:shd w:val="clear" w:color="auto" w:fill="C2D59B"/>
          </w:tcPr>
          <w:p>
            <w:pPr>
              <w:pStyle w:val="TableParagraph"/>
              <w:spacing w:before="66"/>
              <w:ind w:left="243"/>
              <w:rPr>
                <w:sz w:val="20"/>
              </w:rPr>
            </w:pPr>
            <w:r>
              <w:rPr>
                <w:w w:val="99"/>
                <w:sz w:val="20"/>
              </w:rPr>
              <w:t>C</w:t>
            </w:r>
          </w:p>
        </w:tc>
        <w:tc>
          <w:tcPr>
            <w:tcW w:w="626" w:type="dxa"/>
            <w:tcBorders>
              <w:left w:val="single" w:sz="4" w:space="0" w:color="BEBEBE"/>
              <w:bottom w:val="single" w:sz="4" w:space="0" w:color="BEBEBE"/>
              <w:right w:val="single" w:sz="4" w:space="0" w:color="BEBEBE"/>
            </w:tcBorders>
            <w:shd w:val="clear" w:color="auto" w:fill="C2D59B"/>
          </w:tcPr>
          <w:p>
            <w:pPr>
              <w:pStyle w:val="TableParagraph"/>
              <w:spacing w:before="93"/>
              <w:ind w:left="15"/>
              <w:jc w:val="center"/>
              <w:rPr>
                <w:sz w:val="20"/>
              </w:rPr>
            </w:pPr>
            <w:r>
              <w:rPr>
                <w:w w:val="99"/>
                <w:sz w:val="20"/>
              </w:rPr>
              <w:t>C</w:t>
            </w:r>
          </w:p>
        </w:tc>
        <w:tc>
          <w:tcPr>
            <w:tcW w:w="628" w:type="dxa"/>
            <w:tcBorders>
              <w:left w:val="single" w:sz="4" w:space="0" w:color="BEBEBE"/>
              <w:bottom w:val="single" w:sz="4" w:space="0" w:color="BEBEBE"/>
              <w:right w:val="single" w:sz="4" w:space="0" w:color="BEBEBE"/>
            </w:tcBorders>
            <w:shd w:val="clear" w:color="auto" w:fill="F9BE8F"/>
          </w:tcPr>
          <w:p>
            <w:pPr>
              <w:pStyle w:val="TableParagraph"/>
              <w:spacing w:before="93"/>
              <w:ind w:left="13"/>
              <w:jc w:val="center"/>
              <w:rPr>
                <w:sz w:val="20"/>
              </w:rPr>
            </w:pPr>
            <w:r>
              <w:rPr>
                <w:w w:val="99"/>
                <w:sz w:val="20"/>
              </w:rPr>
              <w:t>S</w:t>
            </w:r>
          </w:p>
        </w:tc>
        <w:tc>
          <w:tcPr>
            <w:tcW w:w="744" w:type="dxa"/>
            <w:tcBorders>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86" w:type="dxa"/>
            <w:tcBorders>
              <w:left w:val="single" w:sz="4" w:space="0" w:color="BEBEBE"/>
              <w:bottom w:val="single" w:sz="4" w:space="0" w:color="BEBEBE"/>
              <w:right w:val="single" w:sz="4" w:space="0" w:color="BEBEBE"/>
            </w:tcBorders>
            <w:shd w:val="clear" w:color="auto" w:fill="F9BE8F"/>
          </w:tcPr>
          <w:p>
            <w:pPr>
              <w:pStyle w:val="TableParagraph"/>
              <w:spacing w:before="93"/>
              <w:ind w:left="15"/>
              <w:jc w:val="center"/>
              <w:rPr>
                <w:sz w:val="20"/>
              </w:rPr>
            </w:pPr>
            <w:r>
              <w:rPr>
                <w:w w:val="99"/>
                <w:sz w:val="20"/>
              </w:rPr>
              <w:t>S</w:t>
            </w:r>
          </w:p>
        </w:tc>
      </w:tr>
      <w:tr>
        <w:trPr>
          <w:trHeight w:val="436" w:hRule="atLeast"/>
        </w:trPr>
        <w:tc>
          <w:tcPr>
            <w:tcW w:w="3932" w:type="dxa"/>
            <w:tcBorders>
              <w:top w:val="single" w:sz="4" w:space="0" w:color="BEBEBE"/>
              <w:left w:val="single" w:sz="4" w:space="0" w:color="BEBEBE"/>
              <w:bottom w:val="single" w:sz="4" w:space="0" w:color="BEBEBE"/>
              <w:right w:val="single" w:sz="4" w:space="0" w:color="BEBEBE"/>
            </w:tcBorders>
          </w:tcPr>
          <w:p>
            <w:pPr>
              <w:pStyle w:val="TableParagraph"/>
              <w:spacing w:before="102"/>
              <w:ind w:left="114"/>
              <w:rPr>
                <w:sz w:val="20"/>
              </w:rPr>
            </w:pPr>
            <w:r>
              <w:rPr>
                <w:sz w:val="20"/>
              </w:rPr>
              <w:t>Manage Utilities Configuration</w:t>
            </w:r>
          </w:p>
        </w:tc>
        <w:tc>
          <w:tcPr>
            <w:tcW w:w="629" w:type="dxa"/>
            <w:tcBorders>
              <w:top w:val="single" w:sz="4" w:space="0" w:color="BEBEBE"/>
              <w:left w:val="single" w:sz="4" w:space="0" w:color="BEBEBE"/>
              <w:bottom w:val="single" w:sz="4" w:space="0" w:color="BEBEBE"/>
              <w:right w:val="single" w:sz="6" w:space="0" w:color="BEBEBE"/>
            </w:tcBorders>
          </w:tcPr>
          <w:p>
            <w:pPr>
              <w:pStyle w:val="TableParagraph"/>
              <w:spacing w:before="0"/>
              <w:ind w:left="0"/>
              <w:rPr>
                <w:rFonts w:ascii="Times New Roman"/>
                <w:sz w:val="20"/>
              </w:rPr>
            </w:pPr>
          </w:p>
        </w:tc>
        <w:tc>
          <w:tcPr>
            <w:tcW w:w="629" w:type="dxa"/>
            <w:tcBorders>
              <w:top w:val="single" w:sz="4" w:space="0" w:color="BEBEBE"/>
              <w:left w:val="single" w:sz="6" w:space="0" w:color="BEBEBE"/>
              <w:bottom w:val="single" w:sz="4" w:space="0" w:color="BEBEBE"/>
              <w:right w:val="single" w:sz="4" w:space="0" w:color="BEBEBE"/>
            </w:tcBorders>
          </w:tcPr>
          <w:p>
            <w:pPr>
              <w:pStyle w:val="TableParagraph"/>
              <w:spacing w:before="0"/>
              <w:ind w:left="0"/>
              <w:rPr>
                <w:rFonts w:ascii="Times New Roman"/>
                <w:sz w:val="20"/>
              </w:rPr>
            </w:pPr>
          </w:p>
        </w:tc>
        <w:tc>
          <w:tcPr>
            <w:tcW w:w="626" w:type="dxa"/>
            <w:tcBorders>
              <w:top w:val="single" w:sz="4" w:space="0" w:color="BEBEBE"/>
              <w:left w:val="single" w:sz="4" w:space="0" w:color="BEBEBE"/>
              <w:bottom w:val="single" w:sz="4" w:space="0" w:color="BEBEBE"/>
              <w:right w:val="single" w:sz="4" w:space="0" w:color="BEBEBE"/>
            </w:tcBorders>
            <w:shd w:val="clear" w:color="auto" w:fill="D99493"/>
          </w:tcPr>
          <w:p>
            <w:pPr>
              <w:pStyle w:val="TableParagraph"/>
              <w:spacing w:before="102"/>
              <w:ind w:left="11"/>
              <w:jc w:val="center"/>
              <w:rPr>
                <w:sz w:val="20"/>
              </w:rPr>
            </w:pPr>
            <w:r>
              <w:rPr>
                <w:w w:val="99"/>
                <w:sz w:val="20"/>
              </w:rPr>
              <w:t>A</w:t>
            </w:r>
          </w:p>
        </w:tc>
        <w:tc>
          <w:tcPr>
            <w:tcW w:w="628" w:type="dxa"/>
            <w:tcBorders>
              <w:top w:val="single" w:sz="4" w:space="0" w:color="BEBEBE"/>
              <w:left w:val="single" w:sz="4" w:space="0" w:color="BEBEBE"/>
              <w:bottom w:val="single" w:sz="4" w:space="0" w:color="BEBEBE"/>
              <w:right w:val="single" w:sz="4" w:space="0" w:color="BEBEBE"/>
            </w:tcBorders>
            <w:shd w:val="clear" w:color="auto" w:fill="8DB3E1"/>
          </w:tcPr>
          <w:p>
            <w:pPr>
              <w:pStyle w:val="TableParagraph"/>
              <w:spacing w:before="102"/>
              <w:ind w:left="242"/>
              <w:rPr>
                <w:sz w:val="20"/>
              </w:rPr>
            </w:pPr>
            <w:r>
              <w:rPr>
                <w:w w:val="99"/>
                <w:sz w:val="20"/>
              </w:rPr>
              <w:t>R</w:t>
            </w:r>
          </w:p>
        </w:tc>
        <w:tc>
          <w:tcPr>
            <w:tcW w:w="629"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26" w:type="dxa"/>
            <w:tcBorders>
              <w:top w:val="single" w:sz="4" w:space="0" w:color="BEBEBE"/>
              <w:left w:val="single" w:sz="4" w:space="0" w:color="BEBEBE"/>
              <w:bottom w:val="single" w:sz="4" w:space="0" w:color="BEBEBE"/>
              <w:right w:val="single" w:sz="4" w:space="0" w:color="BEBEBE"/>
            </w:tcBorders>
            <w:shd w:val="clear" w:color="auto" w:fill="C2D59B"/>
          </w:tcPr>
          <w:p>
            <w:pPr>
              <w:pStyle w:val="TableParagraph"/>
              <w:spacing w:before="102"/>
              <w:ind w:left="15"/>
              <w:jc w:val="center"/>
              <w:rPr>
                <w:sz w:val="20"/>
              </w:rPr>
            </w:pPr>
            <w:r>
              <w:rPr>
                <w:w w:val="99"/>
                <w:sz w:val="20"/>
              </w:rPr>
              <w:t>C</w:t>
            </w:r>
          </w:p>
        </w:tc>
        <w:tc>
          <w:tcPr>
            <w:tcW w:w="62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744" w:type="dxa"/>
            <w:tcBorders>
              <w:top w:val="single" w:sz="4" w:space="0" w:color="BEBEBE"/>
              <w:left w:val="single" w:sz="4" w:space="0" w:color="BEBEBE"/>
              <w:bottom w:val="single" w:sz="4" w:space="0" w:color="BEBEBE"/>
              <w:right w:val="single" w:sz="4" w:space="0" w:color="BEBEBE"/>
            </w:tcBorders>
            <w:shd w:val="clear" w:color="auto" w:fill="C2D59B"/>
          </w:tcPr>
          <w:p>
            <w:pPr>
              <w:pStyle w:val="TableParagraph"/>
              <w:spacing w:before="102"/>
              <w:ind w:left="0" w:right="285"/>
              <w:jc w:val="right"/>
              <w:rPr>
                <w:sz w:val="20"/>
              </w:rPr>
            </w:pPr>
            <w:r>
              <w:rPr>
                <w:w w:val="99"/>
                <w:sz w:val="20"/>
              </w:rPr>
              <w:t>C</w:t>
            </w:r>
          </w:p>
        </w:tc>
        <w:tc>
          <w:tcPr>
            <w:tcW w:w="686"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r>
      <w:tr>
        <w:trPr>
          <w:trHeight w:val="453" w:hRule="atLeast"/>
        </w:trPr>
        <w:tc>
          <w:tcPr>
            <w:tcW w:w="3932" w:type="dxa"/>
            <w:tcBorders>
              <w:top w:val="single" w:sz="4" w:space="0" w:color="BEBEBE"/>
              <w:left w:val="single" w:sz="4" w:space="0" w:color="BEBEBE"/>
              <w:bottom w:val="single" w:sz="4" w:space="0" w:color="BEBEBE"/>
              <w:right w:val="single" w:sz="4" w:space="0" w:color="BEBEBE"/>
            </w:tcBorders>
          </w:tcPr>
          <w:p>
            <w:pPr>
              <w:pStyle w:val="TableParagraph"/>
              <w:spacing w:before="110"/>
              <w:ind w:left="114"/>
              <w:rPr>
                <w:sz w:val="20"/>
              </w:rPr>
            </w:pPr>
            <w:r>
              <w:rPr>
                <w:sz w:val="20"/>
              </w:rPr>
              <w:t>Qualify and Prioritize Metering Projects</w:t>
            </w:r>
          </w:p>
        </w:tc>
        <w:tc>
          <w:tcPr>
            <w:tcW w:w="629" w:type="dxa"/>
            <w:tcBorders>
              <w:top w:val="single" w:sz="4" w:space="0" w:color="BEBEBE"/>
              <w:left w:val="single" w:sz="4" w:space="0" w:color="BEBEBE"/>
              <w:bottom w:val="single" w:sz="4" w:space="0" w:color="BEBEBE"/>
              <w:right w:val="single" w:sz="6" w:space="0" w:color="BEBEBE"/>
            </w:tcBorders>
          </w:tcPr>
          <w:p>
            <w:pPr>
              <w:pStyle w:val="TableParagraph"/>
              <w:spacing w:before="0"/>
              <w:ind w:left="0"/>
              <w:rPr>
                <w:rFonts w:ascii="Times New Roman"/>
                <w:sz w:val="20"/>
              </w:rPr>
            </w:pPr>
          </w:p>
        </w:tc>
        <w:tc>
          <w:tcPr>
            <w:tcW w:w="629" w:type="dxa"/>
            <w:tcBorders>
              <w:top w:val="single" w:sz="4" w:space="0" w:color="BEBEBE"/>
              <w:left w:val="single" w:sz="6" w:space="0" w:color="BEBEBE"/>
              <w:bottom w:val="single" w:sz="4" w:space="0" w:color="BEBEBE"/>
              <w:right w:val="single" w:sz="4" w:space="0" w:color="BEBEBE"/>
            </w:tcBorders>
            <w:shd w:val="clear" w:color="auto" w:fill="D99493"/>
          </w:tcPr>
          <w:p>
            <w:pPr>
              <w:pStyle w:val="TableParagraph"/>
              <w:spacing w:before="110"/>
              <w:ind w:left="122" w:right="120"/>
              <w:jc w:val="center"/>
              <w:rPr>
                <w:sz w:val="20"/>
              </w:rPr>
            </w:pPr>
            <w:r>
              <w:rPr>
                <w:sz w:val="20"/>
              </w:rPr>
              <w:t>A/R</w:t>
            </w:r>
          </w:p>
        </w:tc>
        <w:tc>
          <w:tcPr>
            <w:tcW w:w="626"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28" w:type="dxa"/>
            <w:tcBorders>
              <w:top w:val="single" w:sz="4" w:space="0" w:color="BEBEBE"/>
              <w:left w:val="single" w:sz="4" w:space="0" w:color="BEBEBE"/>
              <w:bottom w:val="single" w:sz="4" w:space="0" w:color="BEBEBE"/>
              <w:right w:val="single" w:sz="4" w:space="0" w:color="BEBEBE"/>
            </w:tcBorders>
            <w:shd w:val="clear" w:color="auto" w:fill="C2D59B"/>
          </w:tcPr>
          <w:p>
            <w:pPr>
              <w:pStyle w:val="TableParagraph"/>
              <w:spacing w:before="110"/>
              <w:ind w:left="242"/>
              <w:rPr>
                <w:sz w:val="20"/>
              </w:rPr>
            </w:pPr>
            <w:r>
              <w:rPr>
                <w:w w:val="99"/>
                <w:sz w:val="20"/>
              </w:rPr>
              <w:t>C</w:t>
            </w:r>
          </w:p>
        </w:tc>
        <w:tc>
          <w:tcPr>
            <w:tcW w:w="629" w:type="dxa"/>
            <w:tcBorders>
              <w:top w:val="single" w:sz="4" w:space="0" w:color="BEBEBE"/>
              <w:left w:val="single" w:sz="4" w:space="0" w:color="BEBEBE"/>
              <w:bottom w:val="single" w:sz="4" w:space="0" w:color="BEBEBE"/>
              <w:right w:val="single" w:sz="4" w:space="0" w:color="BEBEBE"/>
            </w:tcBorders>
            <w:shd w:val="clear" w:color="auto" w:fill="94B3D6"/>
          </w:tcPr>
          <w:p>
            <w:pPr>
              <w:pStyle w:val="TableParagraph"/>
              <w:spacing w:before="110"/>
              <w:ind w:left="243"/>
              <w:rPr>
                <w:sz w:val="20"/>
              </w:rPr>
            </w:pPr>
            <w:r>
              <w:rPr>
                <w:w w:val="99"/>
                <w:sz w:val="20"/>
              </w:rPr>
              <w:t>R</w:t>
            </w:r>
          </w:p>
        </w:tc>
        <w:tc>
          <w:tcPr>
            <w:tcW w:w="626"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2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744"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86"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r>
      <w:tr>
        <w:trPr>
          <w:trHeight w:val="436" w:hRule="atLeast"/>
        </w:trPr>
        <w:tc>
          <w:tcPr>
            <w:tcW w:w="3932" w:type="dxa"/>
            <w:tcBorders>
              <w:top w:val="single" w:sz="4" w:space="0" w:color="BEBEBE"/>
              <w:left w:val="single" w:sz="4" w:space="0" w:color="BEBEBE"/>
              <w:bottom w:val="single" w:sz="4" w:space="0" w:color="BEBEBE"/>
              <w:right w:val="single" w:sz="4" w:space="0" w:color="BEBEBE"/>
            </w:tcBorders>
          </w:tcPr>
          <w:p>
            <w:pPr>
              <w:pStyle w:val="TableParagraph"/>
              <w:spacing w:before="100"/>
              <w:ind w:left="114"/>
              <w:rPr>
                <w:sz w:val="20"/>
              </w:rPr>
            </w:pPr>
            <w:r>
              <w:rPr>
                <w:sz w:val="20"/>
              </w:rPr>
              <w:t>Manage Equipment Installation</w:t>
            </w:r>
          </w:p>
        </w:tc>
        <w:tc>
          <w:tcPr>
            <w:tcW w:w="629" w:type="dxa"/>
            <w:tcBorders>
              <w:top w:val="single" w:sz="4" w:space="0" w:color="BEBEBE"/>
              <w:left w:val="single" w:sz="4" w:space="0" w:color="BEBEBE"/>
              <w:bottom w:val="single" w:sz="4" w:space="0" w:color="BEBEBE"/>
              <w:right w:val="single" w:sz="6" w:space="0" w:color="BEBEBE"/>
            </w:tcBorders>
          </w:tcPr>
          <w:p>
            <w:pPr>
              <w:pStyle w:val="TableParagraph"/>
              <w:spacing w:before="0"/>
              <w:ind w:left="0"/>
              <w:rPr>
                <w:rFonts w:ascii="Times New Roman"/>
                <w:sz w:val="20"/>
              </w:rPr>
            </w:pPr>
          </w:p>
        </w:tc>
        <w:tc>
          <w:tcPr>
            <w:tcW w:w="629" w:type="dxa"/>
            <w:tcBorders>
              <w:top w:val="single" w:sz="4" w:space="0" w:color="BEBEBE"/>
              <w:left w:val="single" w:sz="6" w:space="0" w:color="BEBEBE"/>
              <w:bottom w:val="single" w:sz="4" w:space="0" w:color="BEBEBE"/>
              <w:right w:val="single" w:sz="4" w:space="0" w:color="BEBEBE"/>
            </w:tcBorders>
            <w:shd w:val="clear" w:color="auto" w:fill="C2D59B"/>
          </w:tcPr>
          <w:p>
            <w:pPr>
              <w:pStyle w:val="TableParagraph"/>
              <w:spacing w:before="100"/>
              <w:ind w:left="7"/>
              <w:jc w:val="center"/>
              <w:rPr>
                <w:sz w:val="20"/>
              </w:rPr>
            </w:pPr>
            <w:r>
              <w:rPr>
                <w:w w:val="99"/>
                <w:sz w:val="20"/>
              </w:rPr>
              <w:t>C</w:t>
            </w:r>
          </w:p>
        </w:tc>
        <w:tc>
          <w:tcPr>
            <w:tcW w:w="626"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28" w:type="dxa"/>
            <w:tcBorders>
              <w:top w:val="single" w:sz="4" w:space="0" w:color="BEBEBE"/>
              <w:left w:val="single" w:sz="4" w:space="0" w:color="BEBEBE"/>
              <w:bottom w:val="single" w:sz="4" w:space="0" w:color="BEBEBE"/>
              <w:right w:val="single" w:sz="4" w:space="0" w:color="BEBEBE"/>
            </w:tcBorders>
            <w:shd w:val="clear" w:color="auto" w:fill="D99493"/>
          </w:tcPr>
          <w:p>
            <w:pPr>
              <w:pStyle w:val="TableParagraph"/>
              <w:spacing w:before="100"/>
              <w:ind w:left="247"/>
              <w:rPr>
                <w:sz w:val="20"/>
              </w:rPr>
            </w:pPr>
            <w:r>
              <w:rPr>
                <w:w w:val="99"/>
                <w:sz w:val="20"/>
              </w:rPr>
              <w:t>A</w:t>
            </w:r>
          </w:p>
        </w:tc>
        <w:tc>
          <w:tcPr>
            <w:tcW w:w="629"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26" w:type="dxa"/>
            <w:tcBorders>
              <w:top w:val="single" w:sz="4" w:space="0" w:color="BEBEBE"/>
              <w:left w:val="single" w:sz="4" w:space="0" w:color="BEBEBE"/>
              <w:bottom w:val="single" w:sz="4" w:space="0" w:color="BEBEBE"/>
              <w:right w:val="single" w:sz="4" w:space="0" w:color="BEBEBE"/>
            </w:tcBorders>
            <w:shd w:val="clear" w:color="auto" w:fill="8DB3E1"/>
          </w:tcPr>
          <w:p>
            <w:pPr>
              <w:pStyle w:val="TableParagraph"/>
              <w:spacing w:before="100"/>
              <w:ind w:left="15"/>
              <w:jc w:val="center"/>
              <w:rPr>
                <w:sz w:val="20"/>
              </w:rPr>
            </w:pPr>
            <w:r>
              <w:rPr>
                <w:w w:val="99"/>
                <w:sz w:val="20"/>
              </w:rPr>
              <w:t>R</w:t>
            </w:r>
          </w:p>
        </w:tc>
        <w:tc>
          <w:tcPr>
            <w:tcW w:w="62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744" w:type="dxa"/>
            <w:tcBorders>
              <w:top w:val="single" w:sz="4" w:space="0" w:color="BEBEBE"/>
              <w:left w:val="single" w:sz="4" w:space="0" w:color="BEBEBE"/>
              <w:bottom w:val="single" w:sz="4" w:space="0" w:color="BEBEBE"/>
              <w:right w:val="single" w:sz="4" w:space="0" w:color="BEBEBE"/>
            </w:tcBorders>
            <w:shd w:val="clear" w:color="auto" w:fill="FFFF66"/>
          </w:tcPr>
          <w:p>
            <w:pPr>
              <w:pStyle w:val="TableParagraph"/>
              <w:spacing w:before="100"/>
              <w:ind w:left="0" w:right="330"/>
              <w:jc w:val="right"/>
              <w:rPr>
                <w:sz w:val="20"/>
              </w:rPr>
            </w:pPr>
            <w:r>
              <w:rPr>
                <w:w w:val="99"/>
                <w:sz w:val="20"/>
              </w:rPr>
              <w:t>I</w:t>
            </w:r>
          </w:p>
        </w:tc>
        <w:tc>
          <w:tcPr>
            <w:tcW w:w="686"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r>
      <w:tr>
        <w:trPr>
          <w:trHeight w:val="438" w:hRule="atLeast"/>
        </w:trPr>
        <w:tc>
          <w:tcPr>
            <w:tcW w:w="3932" w:type="dxa"/>
            <w:tcBorders>
              <w:top w:val="single" w:sz="4" w:space="0" w:color="BEBEBE"/>
              <w:left w:val="single" w:sz="4" w:space="0" w:color="BEBEBE"/>
              <w:bottom w:val="single" w:sz="4" w:space="0" w:color="BEBEBE"/>
              <w:right w:val="single" w:sz="4" w:space="0" w:color="BEBEBE"/>
            </w:tcBorders>
          </w:tcPr>
          <w:p>
            <w:pPr>
              <w:pStyle w:val="TableParagraph"/>
              <w:spacing w:before="102"/>
              <w:ind w:left="114"/>
              <w:rPr>
                <w:sz w:val="20"/>
              </w:rPr>
            </w:pPr>
            <w:r>
              <w:rPr>
                <w:sz w:val="20"/>
              </w:rPr>
              <w:t>Perform Maintenance</w:t>
            </w:r>
          </w:p>
        </w:tc>
        <w:tc>
          <w:tcPr>
            <w:tcW w:w="629" w:type="dxa"/>
            <w:tcBorders>
              <w:top w:val="single" w:sz="4" w:space="0" w:color="BEBEBE"/>
              <w:left w:val="single" w:sz="4" w:space="0" w:color="BEBEBE"/>
              <w:bottom w:val="single" w:sz="4" w:space="0" w:color="BEBEBE"/>
              <w:right w:val="single" w:sz="6" w:space="0" w:color="BEBEBE"/>
            </w:tcBorders>
          </w:tcPr>
          <w:p>
            <w:pPr>
              <w:pStyle w:val="TableParagraph"/>
              <w:spacing w:before="0"/>
              <w:ind w:left="0"/>
              <w:rPr>
                <w:rFonts w:ascii="Times New Roman"/>
                <w:sz w:val="20"/>
              </w:rPr>
            </w:pPr>
          </w:p>
        </w:tc>
        <w:tc>
          <w:tcPr>
            <w:tcW w:w="629" w:type="dxa"/>
            <w:tcBorders>
              <w:top w:val="single" w:sz="4" w:space="0" w:color="BEBEBE"/>
              <w:left w:val="single" w:sz="6" w:space="0" w:color="BEBEBE"/>
              <w:bottom w:val="single" w:sz="4" w:space="0" w:color="BEBEBE"/>
              <w:right w:val="single" w:sz="4" w:space="0" w:color="BEBEBE"/>
            </w:tcBorders>
            <w:shd w:val="clear" w:color="auto" w:fill="D99493"/>
          </w:tcPr>
          <w:p>
            <w:pPr>
              <w:pStyle w:val="TableParagraph"/>
              <w:spacing w:before="102"/>
              <w:ind w:left="6"/>
              <w:jc w:val="center"/>
              <w:rPr>
                <w:sz w:val="20"/>
              </w:rPr>
            </w:pPr>
            <w:r>
              <w:rPr>
                <w:w w:val="99"/>
                <w:sz w:val="20"/>
              </w:rPr>
              <w:t>A</w:t>
            </w:r>
          </w:p>
        </w:tc>
        <w:tc>
          <w:tcPr>
            <w:tcW w:w="626"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28" w:type="dxa"/>
            <w:tcBorders>
              <w:top w:val="single" w:sz="4" w:space="0" w:color="BEBEBE"/>
              <w:left w:val="single" w:sz="4" w:space="0" w:color="BEBEBE"/>
              <w:bottom w:val="single" w:sz="4" w:space="0" w:color="BEBEBE"/>
              <w:right w:val="single" w:sz="4" w:space="0" w:color="BEBEBE"/>
            </w:tcBorders>
            <w:shd w:val="clear" w:color="auto" w:fill="FFFF66"/>
          </w:tcPr>
          <w:p>
            <w:pPr>
              <w:pStyle w:val="TableParagraph"/>
              <w:spacing w:before="102"/>
              <w:ind w:left="286"/>
              <w:rPr>
                <w:sz w:val="20"/>
              </w:rPr>
            </w:pPr>
            <w:r>
              <w:rPr>
                <w:w w:val="99"/>
                <w:sz w:val="20"/>
              </w:rPr>
              <w:t>I</w:t>
            </w:r>
          </w:p>
        </w:tc>
        <w:tc>
          <w:tcPr>
            <w:tcW w:w="629"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26" w:type="dxa"/>
            <w:tcBorders>
              <w:top w:val="single" w:sz="4" w:space="0" w:color="BEBEBE"/>
              <w:left w:val="single" w:sz="4" w:space="0" w:color="BEBEBE"/>
              <w:bottom w:val="single" w:sz="4" w:space="0" w:color="BEBEBE"/>
              <w:right w:val="single" w:sz="4" w:space="0" w:color="BEBEBE"/>
            </w:tcBorders>
            <w:shd w:val="clear" w:color="auto" w:fill="8DB3E1"/>
          </w:tcPr>
          <w:p>
            <w:pPr>
              <w:pStyle w:val="TableParagraph"/>
              <w:spacing w:before="102"/>
              <w:ind w:left="15"/>
              <w:jc w:val="center"/>
              <w:rPr>
                <w:sz w:val="20"/>
              </w:rPr>
            </w:pPr>
            <w:r>
              <w:rPr>
                <w:w w:val="99"/>
                <w:sz w:val="20"/>
              </w:rPr>
              <w:t>R</w:t>
            </w:r>
          </w:p>
        </w:tc>
        <w:tc>
          <w:tcPr>
            <w:tcW w:w="62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744"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86"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r>
      <w:tr>
        <w:trPr>
          <w:trHeight w:val="438" w:hRule="atLeast"/>
        </w:trPr>
        <w:tc>
          <w:tcPr>
            <w:tcW w:w="3932" w:type="dxa"/>
            <w:tcBorders>
              <w:top w:val="single" w:sz="4" w:space="0" w:color="BEBEBE"/>
              <w:left w:val="single" w:sz="4" w:space="0" w:color="BEBEBE"/>
              <w:bottom w:val="single" w:sz="4" w:space="0" w:color="BEBEBE"/>
              <w:right w:val="single" w:sz="4" w:space="0" w:color="BEBEBE"/>
            </w:tcBorders>
          </w:tcPr>
          <w:p>
            <w:pPr>
              <w:pStyle w:val="TableParagraph"/>
              <w:spacing w:before="102"/>
              <w:ind w:left="114"/>
              <w:rPr>
                <w:sz w:val="20"/>
              </w:rPr>
            </w:pPr>
            <w:r>
              <w:rPr>
                <w:sz w:val="20"/>
              </w:rPr>
              <w:t>Manage Network Infrastructure</w:t>
            </w:r>
          </w:p>
        </w:tc>
        <w:tc>
          <w:tcPr>
            <w:tcW w:w="629" w:type="dxa"/>
            <w:tcBorders>
              <w:top w:val="single" w:sz="4" w:space="0" w:color="BEBEBE"/>
              <w:left w:val="single" w:sz="4" w:space="0" w:color="BEBEBE"/>
              <w:bottom w:val="single" w:sz="4" w:space="0" w:color="BEBEBE"/>
              <w:right w:val="single" w:sz="6" w:space="0" w:color="BEBEBE"/>
            </w:tcBorders>
            <w:shd w:val="clear" w:color="auto" w:fill="D99493"/>
          </w:tcPr>
          <w:p>
            <w:pPr>
              <w:pStyle w:val="TableParagraph"/>
              <w:spacing w:before="102"/>
              <w:ind w:left="10"/>
              <w:jc w:val="center"/>
              <w:rPr>
                <w:sz w:val="20"/>
              </w:rPr>
            </w:pPr>
            <w:r>
              <w:rPr>
                <w:w w:val="99"/>
                <w:sz w:val="20"/>
              </w:rPr>
              <w:t>A</w:t>
            </w:r>
          </w:p>
        </w:tc>
        <w:tc>
          <w:tcPr>
            <w:tcW w:w="629" w:type="dxa"/>
            <w:tcBorders>
              <w:top w:val="single" w:sz="4" w:space="0" w:color="BEBEBE"/>
              <w:left w:val="single" w:sz="6" w:space="0" w:color="BEBEBE"/>
              <w:bottom w:val="single" w:sz="4" w:space="0" w:color="BEBEBE"/>
              <w:right w:val="single" w:sz="4" w:space="0" w:color="BEBEBE"/>
            </w:tcBorders>
            <w:shd w:val="clear" w:color="auto" w:fill="C2D59B"/>
          </w:tcPr>
          <w:p>
            <w:pPr>
              <w:pStyle w:val="TableParagraph"/>
              <w:spacing w:before="102"/>
              <w:ind w:left="7"/>
              <w:jc w:val="center"/>
              <w:rPr>
                <w:sz w:val="20"/>
              </w:rPr>
            </w:pPr>
            <w:r>
              <w:rPr>
                <w:w w:val="99"/>
                <w:sz w:val="20"/>
              </w:rPr>
              <w:t>C</w:t>
            </w:r>
          </w:p>
        </w:tc>
        <w:tc>
          <w:tcPr>
            <w:tcW w:w="626"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28" w:type="dxa"/>
            <w:tcBorders>
              <w:top w:val="single" w:sz="4" w:space="0" w:color="BEBEBE"/>
              <w:left w:val="single" w:sz="4" w:space="0" w:color="BEBEBE"/>
              <w:bottom w:val="single" w:sz="4" w:space="0" w:color="BEBEBE"/>
              <w:right w:val="single" w:sz="4" w:space="0" w:color="BEBEBE"/>
            </w:tcBorders>
            <w:shd w:val="clear" w:color="auto" w:fill="FFFF66"/>
          </w:tcPr>
          <w:p>
            <w:pPr>
              <w:pStyle w:val="TableParagraph"/>
              <w:spacing w:before="102"/>
              <w:ind w:left="286"/>
              <w:rPr>
                <w:sz w:val="20"/>
              </w:rPr>
            </w:pPr>
            <w:r>
              <w:rPr>
                <w:w w:val="99"/>
                <w:sz w:val="20"/>
              </w:rPr>
              <w:t>I</w:t>
            </w:r>
          </w:p>
        </w:tc>
        <w:tc>
          <w:tcPr>
            <w:tcW w:w="629"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26" w:type="dxa"/>
            <w:tcBorders>
              <w:top w:val="single" w:sz="4" w:space="0" w:color="BEBEBE"/>
              <w:left w:val="single" w:sz="4" w:space="0" w:color="BEBEBE"/>
              <w:bottom w:val="single" w:sz="4" w:space="0" w:color="BEBEBE"/>
              <w:right w:val="single" w:sz="4" w:space="0" w:color="BEBEBE"/>
            </w:tcBorders>
            <w:shd w:val="clear" w:color="auto" w:fill="FFFF66"/>
          </w:tcPr>
          <w:p>
            <w:pPr>
              <w:pStyle w:val="TableParagraph"/>
              <w:spacing w:before="102"/>
              <w:ind w:left="13"/>
              <w:jc w:val="center"/>
              <w:rPr>
                <w:sz w:val="20"/>
              </w:rPr>
            </w:pPr>
            <w:r>
              <w:rPr>
                <w:w w:val="99"/>
                <w:sz w:val="20"/>
              </w:rPr>
              <w:t>I</w:t>
            </w:r>
          </w:p>
        </w:tc>
        <w:tc>
          <w:tcPr>
            <w:tcW w:w="62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744"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20"/>
              </w:rPr>
            </w:pPr>
          </w:p>
        </w:tc>
        <w:tc>
          <w:tcPr>
            <w:tcW w:w="686" w:type="dxa"/>
            <w:tcBorders>
              <w:top w:val="single" w:sz="4" w:space="0" w:color="BEBEBE"/>
              <w:left w:val="single" w:sz="4" w:space="0" w:color="BEBEBE"/>
              <w:bottom w:val="single" w:sz="4" w:space="0" w:color="BEBEBE"/>
              <w:right w:val="single" w:sz="4" w:space="0" w:color="BEBEBE"/>
            </w:tcBorders>
            <w:shd w:val="clear" w:color="auto" w:fill="94B3D6"/>
          </w:tcPr>
          <w:p>
            <w:pPr>
              <w:pStyle w:val="TableParagraph"/>
              <w:spacing w:before="102"/>
              <w:ind w:left="16"/>
              <w:jc w:val="center"/>
              <w:rPr>
                <w:sz w:val="20"/>
              </w:rPr>
            </w:pPr>
            <w:r>
              <w:rPr>
                <w:w w:val="99"/>
                <w:sz w:val="20"/>
              </w:rPr>
              <w:t>R</w:t>
            </w:r>
          </w:p>
        </w:tc>
      </w:tr>
    </w:tbl>
    <w:p>
      <w:pPr>
        <w:spacing w:after="0"/>
        <w:jc w:val="center"/>
        <w:rPr>
          <w:sz w:val="20"/>
        </w:rPr>
        <w:sectPr>
          <w:pgSz w:w="12240" w:h="15840"/>
          <w:pgMar w:header="724" w:footer="1020" w:top="1220" w:bottom="1220" w:left="860" w:right="680"/>
        </w:sectPr>
      </w:pPr>
    </w:p>
    <w:p>
      <w:pPr>
        <w:pStyle w:val="BodyText"/>
        <w:spacing w:before="10"/>
        <w:rPr>
          <w:b/>
          <w:sz w:val="18"/>
        </w:rPr>
      </w:pP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Heading1"/>
        <w:numPr>
          <w:ilvl w:val="0"/>
          <w:numId w:val="4"/>
        </w:numPr>
        <w:tabs>
          <w:tab w:pos="1012" w:val="left" w:leader="none"/>
          <w:tab w:pos="1013" w:val="left" w:leader="none"/>
        </w:tabs>
        <w:spacing w:line="240" w:lineRule="auto" w:before="8" w:after="22"/>
        <w:ind w:left="1012" w:right="0" w:hanging="432"/>
        <w:jc w:val="left"/>
      </w:pPr>
      <w:bookmarkStart w:name="_bookmark9" w:id="15"/>
      <w:bookmarkEnd w:id="15"/>
      <w:r>
        <w:rPr>
          <w:b w:val="0"/>
        </w:rPr>
      </w:r>
      <w:bookmarkStart w:name="_bookmark9" w:id="16"/>
      <w:bookmarkEnd w:id="16"/>
      <w:r>
        <w:rPr/>
        <w:t>A</w:t>
      </w:r>
      <w:r>
        <w:rPr/>
        <w:t>DVANCED METERING SELECTION</w:t>
      </w: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BodyText"/>
        <w:spacing w:before="5"/>
        <w:rPr>
          <w:b/>
          <w:sz w:val="11"/>
        </w:rPr>
      </w:pPr>
    </w:p>
    <w:p>
      <w:pPr>
        <w:pStyle w:val="BodyText"/>
        <w:spacing w:line="276" w:lineRule="auto" w:before="93"/>
        <w:ind w:left="580" w:right="1099"/>
      </w:pPr>
      <w:r>
        <w:rPr/>
        <w:t>Selection of advanced metering shall undergo a two-step process. The first step is to </w:t>
      </w:r>
      <w:r>
        <w:rPr>
          <w:b/>
        </w:rPr>
        <w:t>qualify </w:t>
      </w:r>
      <w:r>
        <w:rPr/>
        <w:t>which facilities or assets are required and appropriate or fiscally reasonable to meter (MSPL should be consulted when making this decision). The second step is to </w:t>
      </w:r>
      <w:r>
        <w:rPr>
          <w:b/>
        </w:rPr>
        <w:t>prioritize </w:t>
      </w:r>
      <w:r>
        <w:rPr/>
        <w:t>the list of metering projects or responsibilities.</w:t>
      </w:r>
    </w:p>
    <w:p>
      <w:pPr>
        <w:pStyle w:val="BodyText"/>
        <w:spacing w:before="2"/>
        <w:rPr>
          <w:sz w:val="21"/>
        </w:rPr>
      </w:pPr>
    </w:p>
    <w:p>
      <w:pPr>
        <w:pStyle w:val="Heading2"/>
        <w:numPr>
          <w:ilvl w:val="1"/>
          <w:numId w:val="4"/>
        </w:numPr>
        <w:tabs>
          <w:tab w:pos="1156" w:val="left" w:leader="none"/>
          <w:tab w:pos="1157" w:val="left" w:leader="none"/>
        </w:tabs>
        <w:spacing w:line="240" w:lineRule="auto" w:before="0" w:after="0"/>
        <w:ind w:left="1156" w:right="0" w:hanging="576"/>
        <w:jc w:val="left"/>
      </w:pPr>
      <w:bookmarkStart w:name="_bookmark10" w:id="17"/>
      <w:bookmarkEnd w:id="17"/>
      <w:r>
        <w:rPr>
          <w:b w:val="0"/>
        </w:rPr>
      </w:r>
      <w:bookmarkStart w:name="_bookmark10" w:id="18"/>
      <w:bookmarkEnd w:id="18"/>
      <w:r>
        <w:rPr/>
        <w:t>Qualifi</w:t>
      </w:r>
      <w:r>
        <w:rPr/>
        <w:t>cation</w:t>
      </w:r>
    </w:p>
    <w:p>
      <w:pPr>
        <w:pStyle w:val="BodyText"/>
        <w:spacing w:line="276" w:lineRule="auto" w:before="120"/>
        <w:ind w:left="580" w:right="842"/>
      </w:pPr>
      <w:r>
        <w:rPr/>
        <w:t>The factors of utility qualification for advanced metering are comprised from federal mandates, and generally include requirements for installation at “appropriate assets” defined as covered buildings, smaller facilities, and equipment necessary for optimization of building operations, selected family housing communities, and connections for tactical assets. Key federal guidance includes the Energy Policy Act of 2005 - Section 103, EISA 2007, Executive Order 13963 and the Federal Energy Management Program for Metering Best Practices.</w:t>
      </w:r>
    </w:p>
    <w:p>
      <w:pPr>
        <w:spacing w:line="276" w:lineRule="auto" w:before="120"/>
        <w:ind w:left="580" w:right="916" w:firstLine="0"/>
        <w:jc w:val="left"/>
        <w:rPr>
          <w:sz w:val="22"/>
        </w:rPr>
      </w:pPr>
      <w:r>
        <w:rPr>
          <w:sz w:val="22"/>
        </w:rPr>
        <w:t>DHS and Coast Guard guidance include </w:t>
      </w:r>
      <w:r>
        <w:rPr>
          <w:i/>
          <w:sz w:val="22"/>
        </w:rPr>
        <w:t>Shore Facilities Utilities Metering Guidance </w:t>
      </w:r>
      <w:r>
        <w:rPr>
          <w:i/>
          <w:sz w:val="22"/>
        </w:rPr>
        <w:t>Memorandum</w:t>
      </w:r>
      <w:r>
        <w:rPr>
          <w:sz w:val="22"/>
        </w:rPr>
        <w:t>, and the U.S. Department of Homeland Security Metering Plan (See Section </w:t>
      </w:r>
      <w:hyperlink w:history="true" w:anchor="_bookmark40">
        <w:r>
          <w:rPr>
            <w:sz w:val="22"/>
          </w:rPr>
          <w:t>5.2</w:t>
        </w:r>
      </w:hyperlink>
      <w:r>
        <w:rPr>
          <w:sz w:val="22"/>
        </w:rPr>
        <w:t> Referenced Documents).</w:t>
      </w:r>
    </w:p>
    <w:p>
      <w:pPr>
        <w:pStyle w:val="BodyText"/>
        <w:spacing w:line="276" w:lineRule="auto" w:before="121"/>
        <w:ind w:left="580" w:right="782"/>
      </w:pPr>
      <w:r>
        <w:rPr/>
        <w:t>Coast Guard guidance specifically requires that advanced meters meet the full intent of EPAct 2005 and shall be installed on any new construction or major renovation of $200,000 or above (when it is cost effective). All shore ties and new renewable energy projects are included in this guidance. Specifically, the guidance dictates that advanced meters shall be included as an Energy Conservation Measure (ECM) in the Energy Savings Performance Contracts (ESPC)/ Utility Energy Service Contracts (UESC) projects – FEMP O&amp;M 3.0. Additionally the guidance calls for a concentrated effort to meter building energy consumption on a sub-building level though sub-metering for certain building types, for example data centers, as energy use has increased significantly over the years in these facilities. Water meters should be installed based on water use and flow at the whole building level. The water meters must comply with all federal requirements for potable and process water use reporting requirements. Additionally advanced water meters are required for specialized use such as central boiler or chilled water plants, and high water use activities such as piers and vehicle washing stations shall be installed.</w:t>
      </w:r>
    </w:p>
    <w:p>
      <w:pPr>
        <w:pStyle w:val="BodyText"/>
        <w:spacing w:line="276" w:lineRule="auto" w:before="119"/>
        <w:ind w:left="580" w:right="830"/>
      </w:pPr>
      <w:hyperlink w:history="true" w:anchor="_bookmark11">
        <w:r>
          <w:rPr/>
          <w:t>Figure 2 </w:t>
        </w:r>
      </w:hyperlink>
      <w:r>
        <w:rPr/>
        <w:t>provides a decision matrix to guide the selection of applicable assets. The first step of selection involves potential inclusion/exclusion criteria to advanced metering. These include facilities or assets that will be removed from inventory, whether the operational security of the facility is such that data collection would be disallowed or problematic, etc. The thresholds for advanced metering are summarized in </w:t>
      </w:r>
      <w:hyperlink w:history="true" w:anchor="_bookmark12">
        <w:r>
          <w:rPr/>
          <w:t>Table 2-1 </w:t>
        </w:r>
      </w:hyperlink>
      <w:r>
        <w:rPr/>
        <w:t>and </w:t>
      </w:r>
      <w:hyperlink w:history="true" w:anchor="_bookmark13">
        <w:r>
          <w:rPr/>
          <w:t>Table 2-2</w:t>
        </w:r>
      </w:hyperlink>
      <w:r>
        <w:rPr>
          <w:b/>
        </w:rPr>
        <w:t>, </w:t>
      </w:r>
      <w:r>
        <w:rPr/>
        <w:t>adapted from the U.S. Department of Homeland Security Metering Plan, November 2015. </w:t>
      </w:r>
      <w:hyperlink w:history="true" w:anchor="_bookmark44">
        <w:r>
          <w:rPr/>
          <w:t>Appendix A </w:t>
        </w:r>
      </w:hyperlink>
      <w:r>
        <w:rPr/>
        <w:t>provides the Business Case for determining practicability for installation of an advanced meter.</w:t>
      </w:r>
    </w:p>
    <w:p>
      <w:pPr>
        <w:spacing w:after="0" w:line="276" w:lineRule="auto"/>
        <w:sectPr>
          <w:pgSz w:w="12240" w:h="15840"/>
          <w:pgMar w:header="724" w:footer="1020" w:top="1220" w:bottom="1220" w:left="860" w:right="680"/>
        </w:sectPr>
      </w:pPr>
    </w:p>
    <w:p>
      <w:pPr>
        <w:pStyle w:val="BodyText"/>
        <w:spacing w:before="6"/>
        <w:rPr>
          <w:sz w:val="17"/>
        </w:rPr>
      </w:pPr>
      <w:r>
        <w:rPr/>
        <w:pict>
          <v:shape style="position:absolute;margin-left:312.429993pt;margin-top:219.159973pt;width:15pt;height:10pt;mso-position-horizontal-relative:page;mso-position-vertical-relative:page;z-index:-93976" type="#_x0000_t202" filled="false" stroked="false">
            <v:textbox inset="0,0,0,0">
              <w:txbxContent>
                <w:p>
                  <w:pPr>
                    <w:spacing w:line="199" w:lineRule="exact" w:before="0"/>
                    <w:ind w:left="0" w:right="0" w:firstLine="0"/>
                    <w:jc w:val="left"/>
                    <w:rPr>
                      <w:rFonts w:ascii="Times New Roman"/>
                      <w:b/>
                      <w:sz w:val="18"/>
                    </w:rPr>
                  </w:pPr>
                  <w:r>
                    <w:rPr>
                      <w:rFonts w:ascii="Times New Roman"/>
                      <w:b/>
                      <w:color w:val="313131"/>
                      <w:sz w:val="18"/>
                    </w:rPr>
                    <w:t>AM</w:t>
                  </w:r>
                </w:p>
              </w:txbxContent>
            </v:textbox>
            <w10:wrap type="none"/>
          </v:shape>
        </w:pict>
      </w:r>
      <w:r>
        <w:rPr/>
        <w:pict>
          <v:shape style="position:absolute;margin-left:399.687256pt;margin-top:218.919983pt;width:13.25pt;height:10pt;mso-position-horizontal-relative:page;mso-position-vertical-relative:page;z-index:-93952" type="#_x0000_t202" filled="false" stroked="false">
            <v:textbox inset="0,0,0,0">
              <w:txbxContent>
                <w:p>
                  <w:pPr>
                    <w:spacing w:line="199" w:lineRule="exact" w:before="0"/>
                    <w:ind w:left="0" w:right="0" w:firstLine="0"/>
                    <w:jc w:val="left"/>
                    <w:rPr>
                      <w:rFonts w:ascii="Times New Roman"/>
                      <w:b/>
                      <w:sz w:val="18"/>
                    </w:rPr>
                  </w:pPr>
                  <w:r>
                    <w:rPr>
                      <w:rFonts w:ascii="Times New Roman"/>
                      <w:b/>
                      <w:color w:val="313131"/>
                      <w:sz w:val="18"/>
                    </w:rPr>
                    <w:t>VA</w:t>
                  </w:r>
                </w:p>
              </w:txbxContent>
            </v:textbox>
            <w10:wrap type="none"/>
          </v:shape>
        </w:pict>
      </w:r>
    </w:p>
    <w:p>
      <w:pPr>
        <w:pStyle w:val="BodyText"/>
        <w:ind w:left="565"/>
        <w:rPr>
          <w:sz w:val="20"/>
        </w:rPr>
      </w:pPr>
      <w:r>
        <w:rPr>
          <w:sz w:val="20"/>
        </w:rPr>
        <w:pict>
          <v:group style="width:469.5pt;height:313.350pt;mso-position-horizontal-relative:char;mso-position-vertical-relative:line" coordorigin="0,0" coordsize="9390,6267">
            <v:shape style="position:absolute;left:96;top:744;width:646;height:207" type="#_x0000_t75" stroked="false">
              <v:imagedata r:id="rId15" o:title=""/>
            </v:shape>
            <v:shape style="position:absolute;left:1029;top:327;width:1170;height:1014" coordorigin="1029,327" coordsize="1170,1014" path="m1029,834l1614,327,2199,834,1614,1341,1029,834xe" filled="false" stroked="true" strokeweight="1.5pt" strokecolor="#313131">
              <v:path arrowok="t"/>
              <v:stroke dashstyle="solid"/>
            </v:shape>
            <v:shape style="position:absolute;left:1186;top:615;width:857;height:1102" type="#_x0000_t75" stroked="false">
              <v:imagedata r:id="rId16" o:title=""/>
            </v:shape>
            <v:line style="position:absolute" from="2173,813" to="2606,827" stroked="true" strokeweight="1.5pt" strokecolor="#313131">
              <v:stroke dashstyle="solid"/>
            </v:line>
            <v:shape style="position:absolute;left:2524;top:777;width:82;height:94" coordorigin="2525,777" coordsize="82,94" path="m2528,777l2606,827,2525,871e" filled="false" stroked="true" strokeweight="1.5pt" strokecolor="#313131">
              <v:path arrowok="t"/>
              <v:stroke dashstyle="solid"/>
            </v:shape>
            <v:shape style="position:absolute;left:6060;top:1770;width:1232;height:1113" coordorigin="6060,1771" coordsize="1232,1113" path="m6060,2327l6676,1771,7292,2327,6676,2883,6060,2327xe" filled="false" stroked="true" strokeweight="1.5pt" strokecolor="#313131">
              <v:path arrowok="t"/>
              <v:stroke dashstyle="solid"/>
            </v:shape>
            <v:shape style="position:absolute;left:6255;top:2052;width:936;height:1340" type="#_x0000_t75" stroked="false">
              <v:imagedata r:id="rId17" o:title=""/>
            </v:shape>
            <v:shape style="position:absolute;left:4401;top:1816;width:1174;height:1027" coordorigin="4401,1817" coordsize="1174,1027" path="m4401,2330l4988,1817,5574,2330,4988,2843,4401,2330xe" filled="false" stroked="true" strokeweight="1.5pt" strokecolor="#313131">
              <v:path arrowok="t"/>
              <v:stroke dashstyle="solid"/>
            </v:shape>
            <v:shape style="position:absolute;left:4697;top:2067;width:622;height:1544" type="#_x0000_t75" stroked="false">
              <v:imagedata r:id="rId18" o:title=""/>
            </v:shape>
            <v:shape style="position:absolute;left:4336;top:280;width:1315;height:1086" coordorigin="4336,280" coordsize="1315,1086" path="m4336,823l4994,280,5651,823,4994,1366,4336,823xe" filled="false" stroked="true" strokeweight="1.5pt" strokecolor="#313131">
              <v:path arrowok="t"/>
              <v:stroke dashstyle="solid"/>
            </v:shape>
            <v:shape style="position:absolute;left:4671;top:624;width:728;height:1116" type="#_x0000_t75" stroked="false">
              <v:imagedata r:id="rId19" o:title=""/>
            </v:shape>
            <v:shape style="position:absolute;left:5277;top:3544;width:1353;height:1147" coordorigin="5278,3545" coordsize="1353,1147" path="m5278,4118l5954,3545,6630,4118,5954,4692,5278,4118xe" filled="false" stroked="true" strokeweight="1.5pt" strokecolor="#313131">
              <v:path arrowok="t"/>
              <v:stroke dashstyle="solid"/>
            </v:shape>
            <v:shape style="position:absolute;left:5621;top:3919;width:713;height:893" type="#_x0000_t75" stroked="false">
              <v:imagedata r:id="rId20" o:title=""/>
            </v:shape>
            <v:line style="position:absolute" from="5895,2329" to="6062,2329" stroked="true" strokeweight="1.64pt" strokecolor="#313131">
              <v:stroke dashstyle="solid"/>
            </v:line>
            <v:line style="position:absolute" from="5559,2329" to="5636,2329" stroked="true" strokeweight="1.64pt" strokecolor="#313131">
              <v:stroke dashstyle="solid"/>
            </v:line>
            <v:shape style="position:absolute;left:5966;top:2280;width:81;height:95" coordorigin="5967,2281" coordsize="81,95" path="m5967,2281l6047,2327,5967,2375e" filled="false" stroked="true" strokeweight="1.5pt" strokecolor="#313131">
              <v:path arrowok="t"/>
              <v:stroke dashstyle="solid"/>
            </v:shape>
            <v:shape style="position:absolute;left:8538;top:3016;width:851;height:964" type="#_x0000_t75" stroked="false">
              <v:imagedata r:id="rId21" o:title=""/>
            </v:shape>
            <v:shape style="position:absolute;left:1610;top:15;width:7354;height:3003" coordorigin="1610,15" coordsize="7354,3003" path="m1610,263l1610,15,8964,15,8964,3018e" filled="false" stroked="true" strokeweight="1.5pt" strokecolor="#313131">
              <v:path arrowok="t"/>
              <v:stroke dashstyle="solid"/>
            </v:shape>
            <v:shape style="position:absolute;left:8917;top:2937;width:94;height:81" coordorigin="8917,2937" coordsize="94,81" path="m9011,2937l8964,3018,8917,2937e" filled="false" stroked="true" strokeweight=".62039pt" strokecolor="#313131">
              <v:path arrowok="t"/>
              <v:stroke dashstyle="solid"/>
            </v:shape>
            <v:shape style="position:absolute;left:5907;top:3427;width:94;height:81" coordorigin="5907,3427" coordsize="94,81" path="m6001,3427l5954,3508,5907,3427e" filled="false" stroked="true" strokeweight=".62039pt" strokecolor="#313131">
              <v:path arrowok="t"/>
              <v:stroke dashstyle="solid"/>
            </v:shape>
            <v:line style="position:absolute" from="4994,1366" to="4988,1803" stroked="true" strokeweight="1.5pt" strokecolor="#313131">
              <v:stroke dashstyle="solid"/>
            </v:line>
            <v:shape style="position:absolute;left:4942;top:1722;width:94;height:82" coordorigin="4942,1722" coordsize="94,82" path="m5036,1723l4988,1803,4942,1722e" filled="false" stroked="true" strokeweight="1.5pt" strokecolor="#313131">
              <v:path arrowok="t"/>
              <v:stroke dashstyle="solid"/>
            </v:shape>
            <v:line style="position:absolute" from="862,813" to="1050,813" stroked="true" strokeweight="1.53pt" strokecolor="#313131">
              <v:stroke dashstyle="solid"/>
            </v:line>
            <v:shape style="position:absolute;left:954;top:766;width:81;height:95" coordorigin="955,766" coordsize="81,95" path="m955,766l1035,813,955,860e" filled="false" stroked="true" strokeweight="1.5pt" strokecolor="#313131">
              <v:path arrowok="t"/>
              <v:stroke dashstyle="solid"/>
            </v:shape>
            <v:shape style="position:absolute;left:5319;top:4929;width:1325;height:1081" coordorigin="5319,4929" coordsize="1325,1081" path="m5319,5470l5982,4929,6644,5470,5982,6010,5319,5470xe" filled="false" stroked="true" strokeweight="1.5pt" strokecolor="#313131">
              <v:path arrowok="t"/>
              <v:stroke dashstyle="solid"/>
            </v:shape>
            <v:shape style="position:absolute;left:5554;top:5163;width:857;height:1104" type="#_x0000_t75" stroked="false">
              <v:imagedata r:id="rId16" o:title=""/>
            </v:shape>
            <v:line style="position:absolute" from="5954,4692" to="5970,4960" stroked="true" strokeweight="1.5pt" strokecolor="#313131">
              <v:stroke dashstyle="solid"/>
            </v:line>
            <v:shape style="position:absolute;left:5918;top:4876;width:94;height:84" coordorigin="5919,4877" coordsize="94,84" path="m6012,4877l5970,4960,5919,4883e" filled="false" stroked="true" strokeweight="1.5pt" strokecolor="#313131">
              <v:path arrowok="t"/>
              <v:stroke dashstyle="solid"/>
            </v:shape>
            <v:shape style="position:absolute;left:6645;top:3213;width:1922;height:2262" coordorigin="6645,3213" coordsize="1922,2262" path="m6645,5475l7612,5475,7612,3213,8566,3213e" filled="false" stroked="true" strokeweight="1.5pt" strokecolor="#313131">
              <v:path arrowok="t"/>
              <v:stroke dashstyle="solid"/>
            </v:shape>
            <v:shape style="position:absolute;left:8459;top:3174;width:80;height:95" coordorigin="8459,3174" coordsize="80,95" path="m8459,3174l8539,3221,8459,3268e" filled="false" stroked="true" strokeweight=".628110pt" strokecolor="#313131">
              <v:path arrowok="t"/>
              <v:stroke dashstyle="solid"/>
            </v:shape>
            <v:shape style="position:absolute;left:4227;top:4773;width:1092;height:702" coordorigin="4227,4773" coordsize="1092,702" path="m5319,5475l4730,5475,4737,4773,4227,4773e" filled="false" stroked="true" strokeweight="1.5pt" strokecolor="#313131">
              <v:path arrowok="t"/>
              <v:stroke dashstyle="solid"/>
            </v:shape>
            <v:shape style="position:absolute;left:4226;top:4718;width:80;height:95" coordorigin="4226,4719" coordsize="80,95" path="m4306,4813l4226,4766,4306,4719e" filled="false" stroked="true" strokeweight=".628110pt" strokecolor="#313131">
              <v:path arrowok="t"/>
              <v:stroke dashstyle="solid"/>
            </v:shape>
            <v:shape style="position:absolute;left:4226;top:4118;width:1052;height:648" coordorigin="4226,4118" coordsize="1052,648" path="m5278,4118l4745,4118,4745,4766,4226,4766e" filled="false" stroked="true" strokeweight="1.5pt" strokecolor="#313131">
              <v:path arrowok="t"/>
              <v:stroke dashstyle="solid"/>
            </v:shape>
            <v:shape style="position:absolute;left:4226;top:4718;width:80;height:95" coordorigin="4226,4719" coordsize="80,95" path="m4306,4813l4226,4766,4306,4719e" filled="false" stroked="true" strokeweight="1.5pt" strokecolor="#313131">
              <v:path arrowok="t"/>
              <v:stroke dashstyle="solid"/>
            </v:shape>
            <v:shape style="position:absolute;left:2619;top:280;width:1303;height:1095" coordorigin="2620,280" coordsize="1303,1095" path="m2620,828l3271,280,3922,828,3271,1375,2620,828xe" filled="false" stroked="true" strokeweight="1.5pt" strokecolor="#313131">
              <v:path arrowok="t"/>
              <v:stroke dashstyle="solid"/>
            </v:shape>
            <v:shape style="position:absolute;left:2959;top:639;width:723;height:1044" type="#_x0000_t75" stroked="false">
              <v:imagedata r:id="rId22" o:title=""/>
            </v:shape>
            <v:line style="position:absolute" from="4248,826" to="4338,826" stroked="true" strokeweight="1.71pt" strokecolor="#313131">
              <v:stroke dashstyle="solid"/>
            </v:line>
            <v:line style="position:absolute" from="3907,826" to="3956,826" stroked="true" strokeweight="1.71pt" strokecolor="#313131">
              <v:stroke dashstyle="solid"/>
            </v:line>
            <v:shape style="position:absolute;left:4242;top:777;width:81;height:95" coordorigin="4242,777" coordsize="81,95" path="m4242,777l4323,823,4243,871e" filled="false" stroked="true" strokeweight="1.5pt" strokecolor="#313131">
              <v:path arrowok="t"/>
              <v:stroke dashstyle="solid"/>
            </v:shape>
            <v:line style="position:absolute" from="3254,109" to="3286,109" stroked="true" strokeweight="1.58pt" strokecolor="#313131">
              <v:stroke dashstyle="solid"/>
            </v:line>
            <v:line style="position:absolute" from="3270,247" to="3270,295" stroked="true" strokeweight="1.58pt" strokecolor="#313131">
              <v:stroke dashstyle="solid"/>
            </v:line>
            <v:shape style="position:absolute;left:4462;top:4258;width:468;height:209" type="#_x0000_t75" stroked="false">
              <v:imagedata r:id="rId23" o:title=""/>
            </v:shape>
            <v:shape style="position:absolute;left:4781;top:85;width:461;height:216" type="#_x0000_t75" stroked="false">
              <v:imagedata r:id="rId24" o:title=""/>
            </v:shape>
            <v:shape style="position:absolute;left:2199;top:717;width:392;height:222" type="#_x0000_t75" stroked="false">
              <v:imagedata r:id="rId25" o:title=""/>
            </v:shape>
            <v:shape style="position:absolute;left:3171;top:111;width:276;height:416" type="#_x0000_t75" stroked="false">
              <v:imagedata r:id="rId26" o:title=""/>
            </v:shape>
            <v:shape style="position:absolute;left:1464;top:137;width:346;height:413" type="#_x0000_t75" stroked="false">
              <v:imagedata r:id="rId27" o:title=""/>
            </v:shape>
            <v:shape style="position:absolute;left:3915;top:718;width:334;height:413" type="#_x0000_t75" stroked="false">
              <v:imagedata r:id="rId28" o:title=""/>
            </v:shape>
            <v:shape style="position:absolute;left:5631;top:2263;width:276;height:413" type="#_x0000_t75" stroked="false">
              <v:imagedata r:id="rId26" o:title=""/>
            </v:shape>
            <v:shape style="position:absolute;left:4539;top:5158;width:387;height:413" type="#_x0000_t75" stroked="false">
              <v:imagedata r:id="rId29" o:title=""/>
            </v:shape>
            <v:line style="position:absolute" from="6778,5517" to="7042,5517" stroked="true" strokeweight="6.5173pt" strokecolor="#ffffff">
              <v:stroke dashstyle="solid"/>
            </v:line>
            <v:shape style="position:absolute;left:6646;top:5398;width:389;height:413" type="#_x0000_t75" stroked="false">
              <v:imagedata r:id="rId30" o:title=""/>
            </v:shape>
            <v:shape style="position:absolute;left:3334;top:4540;width:879;height:451" coordorigin="3334,4541" coordsize="879,451" path="m3475,4541l4072,4541,4090,4543,4156,4585,4191,4646,4211,4725,4213,4754,4212,4785,4196,4869,4164,4935,4104,4985,4072,4991,3475,4991,3406,4962,3366,4909,3341,4835,3334,4778,3335,4746,3351,4663,3383,4597,3443,4547,3475,4541xe" filled="false" stroked="true" strokeweight="1.5pt" strokecolor="#313131">
              <v:path arrowok="t"/>
              <v:stroke dashstyle="solid"/>
            </v:shape>
            <v:shape style="position:absolute;left:3370;top:4539;width:780;height:1116" type="#_x0000_t75" stroked="false">
              <v:imagedata r:id="rId31" o:title=""/>
            </v:shape>
            <v:shape style="position:absolute;left:7291;top:2327;width:1248;height:894" coordorigin="7292,2327" coordsize="1248,894" path="m7292,2327l7922,2327,7922,3221,8539,3221e" filled="false" stroked="true" strokeweight="1.5pt" strokecolor="#313131">
              <v:path arrowok="t"/>
              <v:stroke dashstyle="solid"/>
            </v:shape>
            <v:shape style="position:absolute;left:8459;top:3174;width:80;height:95" coordorigin="8459,3174" coordsize="80,95" path="m8459,3174l8539,3221,8459,3268e" filled="false" stroked="true" strokeweight="1.5pt" strokecolor="#313131">
              <v:path arrowok="t"/>
              <v:stroke dashstyle="solid"/>
            </v:shape>
            <v:shape style="position:absolute;left:7422;top:2228;width:282;height:463" type="#_x0000_t75" stroked="false">
              <v:imagedata r:id="rId32" o:title=""/>
            </v:shape>
            <v:shape style="position:absolute;left:4987;top:2837;width:967;height:677" coordorigin="4988,2837" coordsize="967,677" path="m4988,2837l4988,3182,5954,3182,5954,3513e" filled="false" stroked="true" strokeweight="1.5pt" strokecolor="#313131">
              <v:path arrowok="t"/>
              <v:stroke dashstyle="solid"/>
            </v:shape>
            <v:shape style="position:absolute;left:5907;top:3432;width:94;height:81" coordorigin="5907,3432" coordsize="94,81" path="m6001,3432l5954,3513,5907,3432e" filled="false" stroked="true" strokeweight="1.5pt" strokecolor="#313131">
              <v:path arrowok="t"/>
              <v:stroke dashstyle="solid"/>
            </v:shape>
            <v:shape style="position:absolute;left:4695;top:2971;width:624;height:207" type="#_x0000_t75" stroked="false">
              <v:imagedata r:id="rId33" o:title=""/>
            </v:shape>
            <v:shape style="position:absolute;left:15;top:607;width:879;height:451" coordorigin="15,608" coordsize="879,451" path="m156,608l753,608,771,610,837,652,872,713,892,792,894,821,893,852,877,936,845,1002,785,1052,753,1058,156,1058,87,1029,47,976,22,902,15,845,16,813,32,730,64,664,124,614,156,608xe" filled="false" stroked="true" strokeweight="1.5pt" strokecolor="#313131">
              <v:path arrowok="t"/>
              <v:stroke dashstyle="solid"/>
            </v:shape>
            <v:shape style="position:absolute;left:5954;top:2872;width:722;height:636" coordorigin="5954,2872" coordsize="722,636" path="m6676,2872l6676,3178,5954,3178,5954,3508e" filled="false" stroked="true" strokeweight="1.5pt" strokecolor="#313131">
              <v:path arrowok="t"/>
              <v:stroke dashstyle="solid"/>
            </v:shape>
            <v:shape style="position:absolute;left:5710;top:4695;width:389;height:416" type="#_x0000_t75" stroked="false">
              <v:imagedata r:id="rId30" o:title=""/>
            </v:shape>
            <v:shape style="position:absolute;left:6567;top:2979;width:264;height:132" type="#_x0000_t75" stroked="false">
              <v:imagedata r:id="rId34" o:title=""/>
            </v:shape>
            <v:line style="position:absolute" from="1615,236" to="1615,355" stroked="true" strokeweight="1.55pt" strokecolor="#313131">
              <v:stroke dashstyle="solid"/>
            </v:line>
            <v:shape style="position:absolute;left:7815;top:2277;width:81;height:94" coordorigin="7815,2277" coordsize="81,94" path="m7815,2277l7895,2324,7816,2371e" filled="false" stroked="true" strokeweight="1.5pt" strokecolor="#313131">
              <v:path arrowok="t"/>
              <v:stroke dashstyle="solid"/>
            </v:shape>
            <v:line style="position:absolute" from="3291,15" to="3291,93" stroked="true" strokeweight="1.5pt" strokecolor="#313131">
              <v:stroke dashstyle="solid"/>
            </v:line>
            <v:line style="position:absolute" from="5007,15" to="5007,93" stroked="true" strokeweight="1.5pt" strokecolor="#313131">
              <v:stroke dashstyle="solid"/>
            </v:line>
            <v:shape style="position:absolute;left:4774;top:1419;width:389;height:207" type="#_x0000_t75" stroked="false">
              <v:imagedata r:id="rId35" o:title=""/>
            </v:shape>
            <v:shape style="position:absolute;left:7503;top:5397;width:78;height:156" coordorigin="7503,5397" coordsize="78,156" path="m7503,5397l7581,5475,7503,5553e" filled="false" stroked="true" strokeweight="1.5pt" strokecolor="#313131">
              <v:path arrowok="t"/>
              <v:stroke dashstyle="solid"/>
            </v:shape>
            <v:shape style="position:absolute;left:1517;top:145;width:282;height:406" type="#_x0000_t202" filled="false" stroked="false">
              <v:textbox inset="0,0,0,0">
                <w:txbxContent>
                  <w:p>
                    <w:pPr>
                      <w:spacing w:line="240" w:lineRule="auto" w:before="0"/>
                      <w:ind w:left="81" w:right="12" w:hanging="82"/>
                      <w:jc w:val="left"/>
                      <w:rPr>
                        <w:rFonts w:ascii="Times New Roman"/>
                        <w:b/>
                        <w:sz w:val="18"/>
                      </w:rPr>
                    </w:pPr>
                    <w:r>
                      <w:rPr>
                        <w:rFonts w:ascii="Times New Roman"/>
                        <w:b/>
                        <w:color w:val="313131"/>
                        <w:sz w:val="18"/>
                      </w:rPr>
                      <w:t>YE S</w:t>
                    </w:r>
                  </w:p>
                </w:txbxContent>
              </v:textbox>
              <w10:wrap type="none"/>
            </v:shape>
            <v:shape style="position:absolute;left:3244;top:119;width:160;height:409" type="#_x0000_t202" filled="false" stroked="false">
              <v:textbox inset="0,0,0,0">
                <w:txbxContent>
                  <w:p>
                    <w:pPr>
                      <w:spacing w:line="242" w:lineRule="auto" w:before="0"/>
                      <w:ind w:left="0" w:right="0" w:firstLine="4"/>
                      <w:jc w:val="left"/>
                      <w:rPr>
                        <w:rFonts w:ascii="Times New Roman"/>
                        <w:b/>
                        <w:sz w:val="18"/>
                      </w:rPr>
                    </w:pPr>
                    <w:r>
                      <w:rPr>
                        <w:rFonts w:ascii="Times New Roman"/>
                        <w:b/>
                        <w:color w:val="313131"/>
                        <w:sz w:val="18"/>
                      </w:rPr>
                      <w:t>N O</w:t>
                    </w:r>
                  </w:p>
                </w:txbxContent>
              </v:textbox>
              <w10:wrap type="none"/>
            </v:shape>
            <v:shape style="position:absolute;left:4828;top:102;width:401;height:200" type="#_x0000_t202" filled="false" stroked="false">
              <v:textbox inset="0,0,0,0">
                <w:txbxContent>
                  <w:p>
                    <w:pPr>
                      <w:spacing w:line="199" w:lineRule="exact" w:before="0"/>
                      <w:ind w:left="0" w:right="0" w:firstLine="0"/>
                      <w:jc w:val="left"/>
                      <w:rPr>
                        <w:rFonts w:ascii="Times New Roman"/>
                        <w:b/>
                        <w:sz w:val="18"/>
                      </w:rPr>
                    </w:pPr>
                    <w:r>
                      <w:rPr>
                        <w:rFonts w:ascii="Times New Roman"/>
                        <w:b/>
                        <w:color w:val="313131"/>
                        <w:sz w:val="18"/>
                      </w:rPr>
                      <w:t>YES</w:t>
                    </w:r>
                  </w:p>
                </w:txbxContent>
              </v:textbox>
              <w10:wrap type="none"/>
            </v:shape>
            <v:shape style="position:absolute;left:217;top:752;width:435;height:200" type="#_x0000_t202" filled="false" stroked="false">
              <v:textbox inset="0,0,0,0">
                <w:txbxContent>
                  <w:p>
                    <w:pPr>
                      <w:spacing w:line="199" w:lineRule="exact" w:before="0"/>
                      <w:ind w:left="0" w:right="0" w:firstLine="0"/>
                      <w:jc w:val="left"/>
                      <w:rPr>
                        <w:rFonts w:ascii="Times New Roman"/>
                        <w:b/>
                        <w:sz w:val="18"/>
                      </w:rPr>
                    </w:pPr>
                    <w:r>
                      <w:rPr>
                        <w:rFonts w:ascii="Times New Roman"/>
                        <w:b/>
                        <w:color w:val="313131"/>
                        <w:sz w:val="18"/>
                      </w:rPr>
                      <w:t>Start</w:t>
                    </w:r>
                  </w:p>
                </w:txbxContent>
              </v:textbox>
              <w10:wrap type="none"/>
            </v:shape>
            <v:shape style="position:absolute;left:1201;top:623;width:1363;height:1088" type="#_x0000_t202" filled="false" stroked="false">
              <v:textbox inset="0,0,0,0">
                <w:txbxContent>
                  <w:p>
                    <w:pPr>
                      <w:spacing w:line="156" w:lineRule="exact" w:before="0"/>
                      <w:ind w:left="117" w:right="0" w:firstLine="0"/>
                      <w:jc w:val="left"/>
                      <w:rPr>
                        <w:rFonts w:ascii="Times New Roman"/>
                        <w:b/>
                        <w:sz w:val="18"/>
                      </w:rPr>
                    </w:pPr>
                    <w:r>
                      <w:rPr>
                        <w:rFonts w:ascii="Times New Roman"/>
                        <w:b/>
                        <w:color w:val="313131"/>
                        <w:sz w:val="18"/>
                      </w:rPr>
                      <w:t>Sold or</w:t>
                    </w:r>
                  </w:p>
                  <w:p>
                    <w:pPr>
                      <w:tabs>
                        <w:tab w:pos="1058" w:val="left" w:leader="none"/>
                      </w:tabs>
                      <w:spacing w:line="264" w:lineRule="exact" w:before="0"/>
                      <w:ind w:left="187" w:right="0" w:firstLine="0"/>
                      <w:jc w:val="left"/>
                      <w:rPr>
                        <w:rFonts w:ascii="Times New Roman"/>
                        <w:b/>
                        <w:sz w:val="18"/>
                      </w:rPr>
                    </w:pPr>
                    <w:r>
                      <w:rPr>
                        <w:rFonts w:ascii="Times New Roman"/>
                        <w:b/>
                        <w:color w:val="313131"/>
                        <w:spacing w:val="3"/>
                        <w:sz w:val="18"/>
                      </w:rPr>
                      <w:t>razed</w:t>
                      <w:tab/>
                    </w:r>
                    <w:r>
                      <w:rPr>
                        <w:rFonts w:ascii="Times New Roman"/>
                        <w:b/>
                        <w:color w:val="313131"/>
                        <w:spacing w:val="6"/>
                        <w:position w:val="10"/>
                        <w:sz w:val="18"/>
                      </w:rPr>
                      <w:t>NO</w:t>
                    </w:r>
                  </w:p>
                  <w:p>
                    <w:pPr>
                      <w:spacing w:line="259" w:lineRule="auto" w:before="14"/>
                      <w:ind w:left="7" w:right="540" w:firstLine="0"/>
                      <w:jc w:val="center"/>
                      <w:rPr>
                        <w:rFonts w:ascii="Times New Roman"/>
                        <w:b/>
                        <w:sz w:val="18"/>
                      </w:rPr>
                    </w:pPr>
                    <w:r>
                      <w:rPr>
                        <w:rFonts w:ascii="Times New Roman"/>
                        <w:b/>
                        <w:color w:val="313131"/>
                        <w:sz w:val="18"/>
                      </w:rPr>
                      <w:t>within the next five years?</w:t>
                    </w:r>
                  </w:p>
                </w:txbxContent>
              </v:textbox>
              <w10:wrap type="none"/>
            </v:shape>
            <v:shape style="position:absolute;left:2999;top:647;width:663;height:1037" type="#_x0000_t202" filled="false" stroked="false">
              <v:textbox inset="0,0,0,0">
                <w:txbxContent>
                  <w:p>
                    <w:pPr>
                      <w:spacing w:line="242" w:lineRule="auto" w:before="0"/>
                      <w:ind w:left="0" w:right="18" w:hanging="6"/>
                      <w:jc w:val="center"/>
                      <w:rPr>
                        <w:rFonts w:ascii="Times New Roman"/>
                        <w:b/>
                        <w:sz w:val="18"/>
                      </w:rPr>
                    </w:pPr>
                    <w:r>
                      <w:rPr>
                        <w:rFonts w:ascii="Times New Roman"/>
                        <w:b/>
                        <w:color w:val="313131"/>
                        <w:sz w:val="18"/>
                      </w:rPr>
                      <w:t>Facility Modific ation Allowed</w:t>
                    </w:r>
                  </w:p>
                  <w:p>
                    <w:pPr>
                      <w:spacing w:before="0"/>
                      <w:ind w:left="0" w:right="18" w:firstLine="0"/>
                      <w:jc w:val="center"/>
                      <w:rPr>
                        <w:rFonts w:ascii="Times New Roman"/>
                        <w:b/>
                        <w:sz w:val="18"/>
                      </w:rPr>
                    </w:pPr>
                    <w:r>
                      <w:rPr>
                        <w:rFonts w:ascii="Times New Roman"/>
                        <w:b/>
                        <w:color w:val="313131"/>
                        <w:sz w:val="18"/>
                      </w:rPr>
                      <w:t>?</w:t>
                    </w:r>
                  </w:p>
                </w:txbxContent>
              </v:textbox>
              <w10:wrap type="none"/>
            </v:shape>
            <v:shape style="position:absolute;left:3942;top:726;width:283;height:406" type="#_x0000_t202" filled="false" stroked="false">
              <v:textbox inset="0,0,0,0">
                <w:txbxContent>
                  <w:p>
                    <w:pPr>
                      <w:spacing w:line="240" w:lineRule="auto" w:before="0"/>
                      <w:ind w:left="81" w:right="13" w:hanging="82"/>
                      <w:jc w:val="left"/>
                      <w:rPr>
                        <w:rFonts w:ascii="Times New Roman"/>
                        <w:b/>
                        <w:sz w:val="18"/>
                      </w:rPr>
                    </w:pPr>
                    <w:r>
                      <w:rPr>
                        <w:rFonts w:ascii="Times New Roman"/>
                        <w:b/>
                        <w:color w:val="313131"/>
                        <w:sz w:val="18"/>
                      </w:rPr>
                      <w:t>YE S</w:t>
                    </w:r>
                  </w:p>
                </w:txbxContent>
              </v:textbox>
              <w10:wrap type="none"/>
            </v:shape>
            <v:shape style="position:absolute;left:4691;top:632;width:706;height:646" type="#_x0000_t202" filled="false" stroked="false">
              <v:textbox inset="0,0,0,0">
                <w:txbxContent>
                  <w:p>
                    <w:pPr>
                      <w:spacing w:line="259" w:lineRule="auto" w:before="0"/>
                      <w:ind w:left="-1" w:right="18" w:hanging="7"/>
                      <w:jc w:val="center"/>
                      <w:rPr>
                        <w:rFonts w:ascii="Times New Roman"/>
                        <w:b/>
                        <w:sz w:val="18"/>
                      </w:rPr>
                    </w:pPr>
                    <w:r>
                      <w:rPr>
                        <w:rFonts w:ascii="Times New Roman"/>
                        <w:b/>
                        <w:color w:val="313131"/>
                        <w:sz w:val="18"/>
                      </w:rPr>
                      <w:t>Operati onal Security</w:t>
                    </w:r>
                  </w:p>
                </w:txbxContent>
              </v:textbox>
              <w10:wrap type="none"/>
            </v:shape>
            <v:shape style="position:absolute;left:4689;top:1302;width:707;height:200" type="#_x0000_t202" filled="false" stroked="false">
              <v:textbox inset="0,0,0,0">
                <w:txbxContent>
                  <w:p>
                    <w:pPr>
                      <w:spacing w:line="199" w:lineRule="exact" w:before="0"/>
                      <w:ind w:left="0" w:right="0" w:firstLine="0"/>
                      <w:jc w:val="left"/>
                      <w:rPr>
                        <w:rFonts w:ascii="Times New Roman"/>
                        <w:b/>
                        <w:sz w:val="18"/>
                      </w:rPr>
                    </w:pPr>
                    <w:r>
                      <w:rPr>
                        <w:rFonts w:ascii="Times New Roman"/>
                        <w:b/>
                        <w:color w:val="313131"/>
                        <w:sz w:val="18"/>
                      </w:rPr>
                      <w:t>Exclusio</w:t>
                    </w:r>
                  </w:p>
                </w:txbxContent>
              </v:textbox>
              <w10:wrap type="none"/>
            </v:shape>
            <v:shape style="position:absolute;left:4833;top:1427;width:304;height:200" type="#_x0000_t202" filled="false" stroked="false">
              <v:textbox inset="0,0,0,0">
                <w:txbxContent>
                  <w:p>
                    <w:pPr>
                      <w:spacing w:line="199" w:lineRule="exact" w:before="0"/>
                      <w:ind w:left="0" w:right="0" w:firstLine="0"/>
                      <w:jc w:val="left"/>
                      <w:rPr>
                        <w:rFonts w:ascii="Times New Roman"/>
                        <w:b/>
                        <w:sz w:val="18"/>
                      </w:rPr>
                    </w:pPr>
                    <w:r>
                      <w:rPr>
                        <w:rFonts w:ascii="Times New Roman"/>
                        <w:b/>
                        <w:color w:val="313131"/>
                        <w:sz w:val="18"/>
                      </w:rPr>
                      <w:t>NO</w:t>
                    </w:r>
                  </w:p>
                </w:txbxContent>
              </v:textbox>
              <w10:wrap type="none"/>
            </v:shape>
            <v:shape style="position:absolute;left:4718;top:1530;width:598;height:2075" type="#_x0000_t202" filled="false" stroked="false">
              <v:textbox inset="0,0,0,0">
                <w:txbxContent>
                  <w:p>
                    <w:pPr>
                      <w:spacing w:line="199" w:lineRule="exact" w:before="0"/>
                      <w:ind w:left="184" w:right="0" w:firstLine="0"/>
                      <w:jc w:val="left"/>
                      <w:rPr>
                        <w:rFonts w:ascii="Times New Roman"/>
                        <w:b/>
                        <w:sz w:val="18"/>
                      </w:rPr>
                    </w:pPr>
                    <w:r>
                      <w:rPr>
                        <w:rFonts w:ascii="Times New Roman"/>
                        <w:b/>
                        <w:color w:val="313131"/>
                        <w:sz w:val="18"/>
                      </w:rPr>
                      <w:t>n</w:t>
                    </w:r>
                    <w:r>
                      <w:rPr>
                        <w:rFonts w:ascii="Times New Roman"/>
                        <w:b/>
                        <w:color w:val="313131"/>
                        <w:spacing w:val="17"/>
                        <w:sz w:val="18"/>
                      </w:rPr>
                      <w:t> </w:t>
                    </w:r>
                    <w:r>
                      <w:rPr>
                        <w:rFonts w:ascii="Times New Roman"/>
                        <w:b/>
                        <w:color w:val="313131"/>
                        <w:sz w:val="18"/>
                      </w:rPr>
                      <w:t>?</w:t>
                    </w:r>
                  </w:p>
                  <w:p>
                    <w:pPr>
                      <w:spacing w:line="240" w:lineRule="auto" w:before="4"/>
                      <w:rPr>
                        <w:sz w:val="29"/>
                      </w:rPr>
                    </w:pPr>
                  </w:p>
                  <w:p>
                    <w:pPr>
                      <w:spacing w:line="256" w:lineRule="auto" w:before="0"/>
                      <w:ind w:left="0" w:right="18" w:firstLine="0"/>
                      <w:jc w:val="center"/>
                      <w:rPr>
                        <w:rFonts w:ascii="Times New Roman"/>
                        <w:b/>
                        <w:sz w:val="18"/>
                      </w:rPr>
                    </w:pPr>
                    <w:r>
                      <w:rPr>
                        <w:rFonts w:ascii="Times New Roman"/>
                        <w:b/>
                        <w:color w:val="313131"/>
                        <w:spacing w:val="4"/>
                        <w:sz w:val="18"/>
                      </w:rPr>
                      <w:t>Exceed </w:t>
                    </w:r>
                    <w:r>
                      <w:rPr>
                        <w:rFonts w:ascii="Times New Roman"/>
                        <w:b/>
                        <w:color w:val="313131"/>
                        <w:spacing w:val="3"/>
                        <w:sz w:val="18"/>
                      </w:rPr>
                      <w:t>thresh </w:t>
                    </w:r>
                    <w:r>
                      <w:rPr>
                        <w:rFonts w:ascii="Times New Roman"/>
                        <w:b/>
                        <w:color w:val="313131"/>
                        <w:spacing w:val="4"/>
                        <w:sz w:val="18"/>
                      </w:rPr>
                      <w:t>olds per</w:t>
                    </w:r>
                  </w:p>
                  <w:p>
                    <w:pPr>
                      <w:spacing w:line="230" w:lineRule="auto" w:before="6"/>
                      <w:ind w:left="28" w:right="49" w:firstLine="11"/>
                      <w:jc w:val="center"/>
                      <w:rPr>
                        <w:rFonts w:ascii="Times New Roman"/>
                        <w:b/>
                        <w:sz w:val="18"/>
                      </w:rPr>
                    </w:pPr>
                    <w:r>
                      <w:rPr>
                        <w:rFonts w:ascii="Times New Roman"/>
                        <w:b/>
                        <w:color w:val="313131"/>
                        <w:spacing w:val="11"/>
                        <w:w w:val="99"/>
                        <w:sz w:val="18"/>
                      </w:rPr>
                      <w:t>Y</w:t>
                    </w:r>
                    <w:r>
                      <w:rPr>
                        <w:rFonts w:ascii="Times New Roman"/>
                        <w:b/>
                        <w:color w:val="313131"/>
                        <w:spacing w:val="9"/>
                        <w:sz w:val="18"/>
                      </w:rPr>
                      <w:t>E</w:t>
                    </w:r>
                    <w:r>
                      <w:rPr>
                        <w:rFonts w:ascii="Times New Roman"/>
                        <w:b/>
                        <w:color w:val="313131"/>
                        <w:spacing w:val="-72"/>
                        <w:w w:val="99"/>
                        <w:sz w:val="18"/>
                      </w:rPr>
                      <w:t>S</w:t>
                    </w:r>
                    <w:r>
                      <w:rPr>
                        <w:rFonts w:ascii="Times New Roman"/>
                        <w:b/>
                        <w:color w:val="313131"/>
                        <w:w w:val="99"/>
                        <w:position w:val="2"/>
                        <w:sz w:val="18"/>
                      </w:rPr>
                      <w:t>I </w:t>
                    </w:r>
                    <w:r>
                      <w:rPr>
                        <w:rFonts w:ascii="Times New Roman"/>
                        <w:b/>
                        <w:color w:val="313131"/>
                        <w:spacing w:val="6"/>
                        <w:sz w:val="18"/>
                      </w:rPr>
                      <w:t>CSTO</w:t>
                    </w:r>
                  </w:p>
                  <w:p>
                    <w:pPr>
                      <w:spacing w:before="21"/>
                      <w:ind w:left="0" w:right="20" w:firstLine="0"/>
                      <w:jc w:val="center"/>
                      <w:rPr>
                        <w:rFonts w:ascii="Times New Roman"/>
                        <w:b/>
                        <w:sz w:val="18"/>
                      </w:rPr>
                    </w:pPr>
                    <w:r>
                      <w:rPr>
                        <w:rFonts w:ascii="Times New Roman"/>
                        <w:b/>
                        <w:color w:val="313131"/>
                        <w:sz w:val="18"/>
                      </w:rPr>
                      <w:t>?</w:t>
                    </w:r>
                  </w:p>
                </w:txbxContent>
              </v:textbox>
              <w10:wrap type="none"/>
            </v:shape>
            <v:shape style="position:absolute;left:5704;top:2271;width:160;height:406" type="#_x0000_t202" filled="false" stroked="false">
              <v:textbox inset="0,0,0,0">
                <w:txbxContent>
                  <w:p>
                    <w:pPr>
                      <w:spacing w:line="240" w:lineRule="auto" w:before="0"/>
                      <w:ind w:left="0" w:right="0" w:firstLine="4"/>
                      <w:jc w:val="left"/>
                      <w:rPr>
                        <w:rFonts w:ascii="Times New Roman"/>
                        <w:b/>
                        <w:sz w:val="18"/>
                      </w:rPr>
                    </w:pPr>
                    <w:r>
                      <w:rPr>
                        <w:rFonts w:ascii="Times New Roman"/>
                        <w:b/>
                        <w:color w:val="313131"/>
                        <w:sz w:val="18"/>
                      </w:rPr>
                      <w:t>N O</w:t>
                    </w:r>
                  </w:p>
                </w:txbxContent>
              </v:textbox>
              <w10:wrap type="none"/>
            </v:shape>
            <v:shape style="position:absolute;left:6415;top:2060;width:631;height:1321" type="#_x0000_t202" filled="false" stroked="false">
              <v:textbox inset="0,0,0,0">
                <w:txbxContent>
                  <w:p>
                    <w:pPr>
                      <w:spacing w:line="259" w:lineRule="auto" w:before="0"/>
                      <w:ind w:left="-1" w:right="18" w:firstLine="2"/>
                      <w:jc w:val="center"/>
                      <w:rPr>
                        <w:rFonts w:ascii="Times New Roman"/>
                        <w:b/>
                        <w:sz w:val="18"/>
                      </w:rPr>
                    </w:pPr>
                    <w:r>
                      <w:rPr>
                        <w:rFonts w:ascii="Times New Roman"/>
                        <w:b/>
                        <w:color w:val="313131"/>
                        <w:sz w:val="18"/>
                      </w:rPr>
                      <w:t>High usage (Data Center, H </w:t>
                    </w:r>
                    <w:r>
                      <w:rPr>
                        <w:rFonts w:ascii="Times New Roman"/>
                        <w:b/>
                        <w:color w:val="313131"/>
                        <w:position w:val="-2"/>
                        <w:sz w:val="18"/>
                      </w:rPr>
                      <w:t>Y </w:t>
                    </w:r>
                    <w:r>
                      <w:rPr>
                        <w:rFonts w:ascii="Times New Roman"/>
                        <w:b/>
                        <w:color w:val="313131"/>
                        <w:sz w:val="18"/>
                      </w:rPr>
                      <w:t>C,</w:t>
                    </w:r>
                  </w:p>
                  <w:p>
                    <w:pPr>
                      <w:spacing w:line="180" w:lineRule="exact" w:before="0"/>
                      <w:ind w:left="126" w:right="140" w:firstLine="0"/>
                      <w:jc w:val="center"/>
                      <w:rPr>
                        <w:rFonts w:ascii="Times New Roman"/>
                        <w:b/>
                        <w:sz w:val="18"/>
                      </w:rPr>
                    </w:pPr>
                    <w:r>
                      <w:rPr>
                        <w:rFonts w:ascii="Times New Roman"/>
                        <w:b/>
                        <w:color w:val="313131"/>
                        <w:sz w:val="18"/>
                      </w:rPr>
                      <w:t>etc.)</w:t>
                    </w:r>
                  </w:p>
                </w:txbxContent>
              </v:textbox>
              <w10:wrap type="none"/>
            </v:shape>
            <v:shape style="position:absolute;left:7502;top:2286;width:160;height:406" type="#_x0000_t202" filled="false" stroked="false">
              <v:textbox inset="0,0,0,0">
                <w:txbxContent>
                  <w:p>
                    <w:pPr>
                      <w:spacing w:line="240" w:lineRule="auto" w:before="0"/>
                      <w:ind w:left="0" w:right="0" w:firstLine="4"/>
                      <w:jc w:val="left"/>
                      <w:rPr>
                        <w:rFonts w:ascii="Times New Roman"/>
                        <w:b/>
                        <w:sz w:val="18"/>
                      </w:rPr>
                    </w:pPr>
                    <w:r>
                      <w:rPr>
                        <w:rFonts w:ascii="Times New Roman"/>
                        <w:b/>
                        <w:color w:val="313131"/>
                        <w:sz w:val="18"/>
                      </w:rPr>
                      <w:t>N O</w:t>
                    </w:r>
                  </w:p>
                </w:txbxContent>
              </v:textbox>
              <w10:wrap type="none"/>
            </v:shape>
            <v:shape style="position:absolute;left:4514;top:4269;width:401;height:200" type="#_x0000_t202" filled="false" stroked="false">
              <v:textbox inset="0,0,0,0">
                <w:txbxContent>
                  <w:p>
                    <w:pPr>
                      <w:spacing w:line="199" w:lineRule="exact" w:before="0"/>
                      <w:ind w:left="0" w:right="0" w:firstLine="0"/>
                      <w:jc w:val="left"/>
                      <w:rPr>
                        <w:rFonts w:ascii="Times New Roman"/>
                        <w:b/>
                        <w:sz w:val="18"/>
                      </w:rPr>
                    </w:pPr>
                    <w:r>
                      <w:rPr>
                        <w:rFonts w:ascii="Times New Roman"/>
                        <w:b/>
                        <w:color w:val="313131"/>
                        <w:sz w:val="18"/>
                      </w:rPr>
                      <w:t>YES</w:t>
                    </w:r>
                  </w:p>
                </w:txbxContent>
              </v:textbox>
              <w10:wrap type="none"/>
            </v:shape>
            <v:shape style="position:absolute;left:3421;top:4547;width:703;height:1097" type="#_x0000_t202" filled="false" stroked="false">
              <v:textbox inset="0,0,0,0">
                <w:txbxContent>
                  <w:p>
                    <w:pPr>
                      <w:spacing w:line="259" w:lineRule="auto" w:before="0"/>
                      <w:ind w:left="-1" w:right="18" w:firstLine="0"/>
                      <w:jc w:val="center"/>
                      <w:rPr>
                        <w:rFonts w:ascii="Times New Roman"/>
                        <w:b/>
                        <w:sz w:val="18"/>
                      </w:rPr>
                    </w:pPr>
                    <w:r>
                      <w:rPr>
                        <w:rFonts w:ascii="Times New Roman"/>
                        <w:b/>
                        <w:color w:val="313131"/>
                        <w:spacing w:val="3"/>
                        <w:sz w:val="18"/>
                      </w:rPr>
                      <w:t>Prioritiz </w:t>
                    </w:r>
                    <w:r>
                      <w:rPr>
                        <w:rFonts w:ascii="Times New Roman"/>
                        <w:b/>
                        <w:color w:val="313131"/>
                        <w:sz w:val="18"/>
                      </w:rPr>
                      <w:t>e</w:t>
                    </w:r>
                  </w:p>
                  <w:p>
                    <w:pPr>
                      <w:spacing w:line="261" w:lineRule="auto" w:before="0"/>
                      <w:ind w:left="7" w:right="20" w:hanging="4"/>
                      <w:jc w:val="center"/>
                      <w:rPr>
                        <w:rFonts w:ascii="Times New Roman"/>
                        <w:b/>
                        <w:sz w:val="18"/>
                      </w:rPr>
                    </w:pPr>
                    <w:r>
                      <w:rPr>
                        <w:rFonts w:ascii="Times New Roman"/>
                        <w:b/>
                        <w:color w:val="313131"/>
                        <w:sz w:val="18"/>
                      </w:rPr>
                      <w:t>M eterin g     Projects</w:t>
                    </w:r>
                  </w:p>
                </w:txbxContent>
              </v:textbox>
              <w10:wrap type="none"/>
            </v:shape>
            <v:shape style="position:absolute;left:4605;top:5166;width:282;height:406" type="#_x0000_t202" filled="false" stroked="false">
              <v:textbox inset="0,0,0,0">
                <w:txbxContent>
                  <w:p>
                    <w:pPr>
                      <w:spacing w:line="240" w:lineRule="auto" w:before="0"/>
                      <w:ind w:left="81" w:right="12" w:hanging="82"/>
                      <w:jc w:val="left"/>
                      <w:rPr>
                        <w:rFonts w:ascii="Times New Roman"/>
                        <w:b/>
                        <w:sz w:val="18"/>
                      </w:rPr>
                    </w:pPr>
                    <w:r>
                      <w:rPr>
                        <w:rFonts w:ascii="Times New Roman"/>
                        <w:b/>
                        <w:color w:val="313131"/>
                        <w:sz w:val="18"/>
                      </w:rPr>
                      <w:t>YE S</w:t>
                    </w:r>
                  </w:p>
                </w:txbxContent>
              </v:textbox>
              <w10:wrap type="none"/>
            </v:shape>
            <v:shape style="position:absolute;left:5577;top:3928;width:827;height:2331" type="#_x0000_t202" filled="false" stroked="false">
              <v:textbox inset="0,0,0,0">
                <w:txbxContent>
                  <w:p>
                    <w:pPr>
                      <w:spacing w:line="261" w:lineRule="auto" w:before="0"/>
                      <w:ind w:left="69" w:right="94" w:hanging="7"/>
                      <w:jc w:val="center"/>
                      <w:rPr>
                        <w:rFonts w:ascii="Times New Roman"/>
                        <w:b/>
                        <w:sz w:val="18"/>
                      </w:rPr>
                    </w:pPr>
                    <w:r>
                      <w:rPr>
                        <w:rFonts w:ascii="Times New Roman"/>
                        <w:b/>
                        <w:color w:val="313131"/>
                        <w:sz w:val="18"/>
                      </w:rPr>
                      <w:t>Respon sible for Utility B</w:t>
                    </w:r>
                    <w:r>
                      <w:rPr>
                        <w:rFonts w:ascii="Times New Roman"/>
                        <w:b/>
                        <w:color w:val="313131"/>
                        <w:sz w:val="18"/>
                        <w:u w:val="thick" w:color="FFFFFF"/>
                      </w:rPr>
                      <w:t>ill</w:t>
                    </w:r>
                    <w:r>
                      <w:rPr>
                        <w:rFonts w:ascii="Times New Roman"/>
                        <w:b/>
                        <w:color w:val="313131"/>
                        <w:sz w:val="18"/>
                      </w:rPr>
                      <w:t>s?</w:t>
                    </w:r>
                  </w:p>
                  <w:p>
                    <w:pPr>
                      <w:spacing w:before="71"/>
                      <w:ind w:left="191" w:right="0" w:firstLine="0"/>
                      <w:jc w:val="left"/>
                      <w:rPr>
                        <w:rFonts w:ascii="Times New Roman"/>
                        <w:b/>
                        <w:sz w:val="18"/>
                      </w:rPr>
                    </w:pPr>
                    <w:r>
                      <w:rPr>
                        <w:rFonts w:ascii="Times New Roman"/>
                        <w:b/>
                        <w:color w:val="313131"/>
                        <w:sz w:val="18"/>
                      </w:rPr>
                      <w:t>NO</w:t>
                    </w:r>
                  </w:p>
                  <w:p>
                    <w:pPr>
                      <w:spacing w:line="256" w:lineRule="auto" w:before="55"/>
                      <w:ind w:left="-1" w:right="18" w:hanging="4"/>
                      <w:jc w:val="center"/>
                      <w:rPr>
                        <w:rFonts w:ascii="Times New Roman"/>
                        <w:b/>
                        <w:sz w:val="18"/>
                      </w:rPr>
                    </w:pPr>
                    <w:r>
                      <w:rPr>
                        <w:rFonts w:ascii="Times New Roman"/>
                        <w:b/>
                        <w:color w:val="313131"/>
                        <w:sz w:val="18"/>
                      </w:rPr>
                      <w:t>Will Operatio ns Benefit from</w:t>
                    </w:r>
                  </w:p>
                  <w:p>
                    <w:pPr>
                      <w:spacing w:before="2"/>
                      <w:ind w:left="83" w:right="98" w:firstLine="0"/>
                      <w:jc w:val="center"/>
                      <w:rPr>
                        <w:rFonts w:ascii="Times New Roman"/>
                        <w:b/>
                        <w:sz w:val="18"/>
                      </w:rPr>
                    </w:pPr>
                    <w:r>
                      <w:rPr>
                        <w:rFonts w:ascii="Times New Roman"/>
                        <w:b/>
                        <w:color w:val="313131"/>
                        <w:sz w:val="18"/>
                      </w:rPr>
                      <w:t>M eter?</w:t>
                    </w:r>
                  </w:p>
                </w:txbxContent>
              </v:textbox>
              <w10:wrap type="none"/>
            </v:shape>
            <v:shape style="position:absolute;left:8844;top:3095;width:520;height:875" type="#_x0000_t202" filled="false" stroked="false">
              <v:textbox inset="0,0,0,0">
                <w:txbxContent>
                  <w:p>
                    <w:pPr>
                      <w:spacing w:line="261" w:lineRule="auto" w:before="0"/>
                      <w:ind w:left="0" w:right="-10" w:firstLine="40"/>
                      <w:jc w:val="left"/>
                      <w:rPr>
                        <w:rFonts w:ascii="Times New Roman"/>
                        <w:b/>
                        <w:sz w:val="18"/>
                      </w:rPr>
                    </w:pPr>
                    <w:r>
                      <w:rPr>
                        <w:rFonts w:ascii="Times New Roman"/>
                        <w:b/>
                        <w:color w:val="313131"/>
                        <w:sz w:val="18"/>
                      </w:rPr>
                      <w:t>No Adva nced M eter</w:t>
                    </w:r>
                  </w:p>
                </w:txbxContent>
              </v:textbox>
              <w10:wrap type="none"/>
            </v:shape>
            <v:shape style="position:absolute;left:6708;top:5613;width:297;height:200" type="#_x0000_t202" filled="false" stroked="false">
              <v:textbox inset="0,0,0,0">
                <w:txbxContent>
                  <w:p>
                    <w:pPr>
                      <w:spacing w:line="199" w:lineRule="exact" w:before="0"/>
                      <w:ind w:left="0" w:right="0" w:firstLine="0"/>
                      <w:jc w:val="left"/>
                      <w:rPr>
                        <w:rFonts w:ascii="Times New Roman"/>
                        <w:b/>
                        <w:sz w:val="18"/>
                      </w:rPr>
                    </w:pPr>
                    <w:r>
                      <w:rPr>
                        <w:rFonts w:ascii="Times New Roman"/>
                        <w:b/>
                        <w:color w:val="313131"/>
                        <w:sz w:val="18"/>
                      </w:rPr>
                      <w:t>NO</w:t>
                    </w:r>
                  </w:p>
                </w:txbxContent>
              </v:textbox>
              <w10:wrap type="none"/>
            </v:shape>
          </v:group>
        </w:pict>
      </w:r>
      <w:r>
        <w:rPr>
          <w:sz w:val="20"/>
        </w:rPr>
      </w:r>
    </w:p>
    <w:p>
      <w:pPr>
        <w:spacing w:before="120"/>
        <w:ind w:left="31" w:right="210" w:firstLine="0"/>
        <w:jc w:val="center"/>
        <w:rPr>
          <w:b/>
          <w:sz w:val="18"/>
        </w:rPr>
      </w:pPr>
      <w:bookmarkStart w:name="_bookmark11" w:id="19"/>
      <w:bookmarkEnd w:id="19"/>
      <w:r>
        <w:rPr/>
      </w:r>
      <w:r>
        <w:rPr>
          <w:b/>
          <w:sz w:val="18"/>
        </w:rPr>
        <w:t>Figure 2: Facility Qualification Decision Matrix</w:t>
      </w:r>
    </w:p>
    <w:p>
      <w:pPr>
        <w:pStyle w:val="BodyText"/>
        <w:rPr>
          <w:b/>
          <w:sz w:val="20"/>
        </w:rPr>
      </w:pPr>
    </w:p>
    <w:p>
      <w:pPr>
        <w:pStyle w:val="BodyText"/>
        <w:spacing w:before="1"/>
        <w:rPr>
          <w:b/>
          <w:sz w:val="21"/>
        </w:rPr>
      </w:pPr>
    </w:p>
    <w:p>
      <w:pPr>
        <w:spacing w:before="1"/>
        <w:ind w:left="31" w:right="207" w:firstLine="0"/>
        <w:jc w:val="center"/>
        <w:rPr>
          <w:b/>
          <w:sz w:val="18"/>
        </w:rPr>
      </w:pPr>
      <w:bookmarkStart w:name="_bookmark12" w:id="20"/>
      <w:bookmarkEnd w:id="20"/>
      <w:r>
        <w:rPr/>
      </w:r>
      <w:r>
        <w:rPr>
          <w:b/>
          <w:sz w:val="18"/>
        </w:rPr>
        <w:t>Table 2-1: Advanced Energy (Electricity and Natural Gas / Propane) Meter Thresholds*</w:t>
      </w:r>
    </w:p>
    <w:p>
      <w:pPr>
        <w:pStyle w:val="BodyText"/>
        <w:spacing w:before="7"/>
        <w:rPr>
          <w:b/>
          <w:sz w:val="5"/>
        </w:rPr>
      </w:pPr>
    </w:p>
    <w:tbl>
      <w:tblPr>
        <w:tblW w:w="0" w:type="auto"/>
        <w:jc w:val="left"/>
        <w:tblInd w:w="146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4050"/>
        <w:gridCol w:w="1707"/>
        <w:gridCol w:w="1848"/>
      </w:tblGrid>
      <w:tr>
        <w:trPr>
          <w:trHeight w:val="2807" w:hRule="atLeast"/>
        </w:trPr>
        <w:tc>
          <w:tcPr>
            <w:tcW w:w="4050" w:type="dxa"/>
            <w:shd w:val="clear" w:color="auto" w:fill="D9D9D9"/>
            <w:textDirection w:val="btLr"/>
          </w:tcPr>
          <w:p>
            <w:pPr>
              <w:pStyle w:val="TableParagraph"/>
              <w:spacing w:before="150"/>
              <w:ind w:left="-1"/>
              <w:rPr>
                <w:b/>
                <w:sz w:val="20"/>
              </w:rPr>
            </w:pPr>
            <w:r>
              <w:rPr>
                <w:b/>
                <w:sz w:val="20"/>
              </w:rPr>
              <w:t>Facility Function</w:t>
            </w:r>
          </w:p>
        </w:tc>
        <w:tc>
          <w:tcPr>
            <w:tcW w:w="1707" w:type="dxa"/>
            <w:shd w:val="clear" w:color="auto" w:fill="D9D9D9"/>
            <w:textDirection w:val="btLr"/>
          </w:tcPr>
          <w:p>
            <w:pPr>
              <w:pStyle w:val="TableParagraph"/>
              <w:spacing w:line="285" w:lineRule="auto" w:before="150"/>
              <w:ind w:left="-1" w:right="809"/>
              <w:rPr>
                <w:b/>
                <w:sz w:val="20"/>
              </w:rPr>
            </w:pPr>
            <w:r>
              <w:rPr>
                <w:b/>
                <w:sz w:val="20"/>
              </w:rPr>
              <w:t>Real Property Use or Category Code</w:t>
            </w:r>
          </w:p>
        </w:tc>
        <w:tc>
          <w:tcPr>
            <w:tcW w:w="1848" w:type="dxa"/>
            <w:shd w:val="clear" w:color="auto" w:fill="D9D9D9"/>
            <w:textDirection w:val="btLr"/>
          </w:tcPr>
          <w:p>
            <w:pPr>
              <w:pStyle w:val="TableParagraph"/>
              <w:spacing w:line="244" w:lineRule="auto" w:before="150"/>
              <w:ind w:left="-1"/>
              <w:rPr>
                <w:b/>
                <w:sz w:val="20"/>
              </w:rPr>
            </w:pPr>
            <w:r>
              <w:rPr>
                <w:b/>
                <w:sz w:val="20"/>
              </w:rPr>
              <w:t>Size SF(Greater than or Equal)</w:t>
            </w:r>
          </w:p>
        </w:tc>
      </w:tr>
      <w:tr>
        <w:trPr>
          <w:trHeight w:val="309" w:hRule="atLeast"/>
        </w:trPr>
        <w:tc>
          <w:tcPr>
            <w:tcW w:w="4050" w:type="dxa"/>
          </w:tcPr>
          <w:p>
            <w:pPr>
              <w:pStyle w:val="TableParagraph"/>
              <w:rPr>
                <w:sz w:val="20"/>
              </w:rPr>
            </w:pPr>
            <w:r>
              <w:rPr>
                <w:sz w:val="20"/>
              </w:rPr>
              <w:t>All Other Land **</w:t>
            </w:r>
          </w:p>
        </w:tc>
        <w:tc>
          <w:tcPr>
            <w:tcW w:w="1707" w:type="dxa"/>
          </w:tcPr>
          <w:p>
            <w:pPr>
              <w:pStyle w:val="TableParagraph"/>
              <w:rPr>
                <w:sz w:val="20"/>
              </w:rPr>
            </w:pPr>
            <w:r>
              <w:rPr>
                <w:sz w:val="20"/>
              </w:rPr>
              <w:t>80</w:t>
            </w:r>
          </w:p>
        </w:tc>
        <w:tc>
          <w:tcPr>
            <w:tcW w:w="1848" w:type="dxa"/>
          </w:tcPr>
          <w:p>
            <w:pPr>
              <w:pStyle w:val="TableParagraph"/>
              <w:rPr>
                <w:sz w:val="20"/>
              </w:rPr>
            </w:pPr>
            <w:r>
              <w:rPr>
                <w:sz w:val="20"/>
              </w:rPr>
              <w:t>5,000</w:t>
            </w:r>
          </w:p>
        </w:tc>
      </w:tr>
      <w:tr>
        <w:trPr>
          <w:trHeight w:val="309" w:hRule="atLeast"/>
        </w:trPr>
        <w:tc>
          <w:tcPr>
            <w:tcW w:w="4050" w:type="dxa"/>
          </w:tcPr>
          <w:p>
            <w:pPr>
              <w:pStyle w:val="TableParagraph"/>
              <w:rPr>
                <w:sz w:val="20"/>
              </w:rPr>
            </w:pPr>
            <w:r>
              <w:rPr>
                <w:sz w:val="20"/>
              </w:rPr>
              <w:t>Communications Systems</w:t>
            </w:r>
          </w:p>
        </w:tc>
        <w:tc>
          <w:tcPr>
            <w:tcW w:w="1707" w:type="dxa"/>
          </w:tcPr>
          <w:p>
            <w:pPr>
              <w:pStyle w:val="TableParagraph"/>
              <w:rPr>
                <w:sz w:val="20"/>
              </w:rPr>
            </w:pPr>
            <w:r>
              <w:rPr>
                <w:sz w:val="20"/>
              </w:rPr>
              <w:t>72</w:t>
            </w:r>
          </w:p>
        </w:tc>
        <w:tc>
          <w:tcPr>
            <w:tcW w:w="1848" w:type="dxa"/>
          </w:tcPr>
          <w:p>
            <w:pPr>
              <w:pStyle w:val="TableParagraph"/>
              <w:rPr>
                <w:sz w:val="20"/>
              </w:rPr>
            </w:pPr>
            <w:r>
              <w:rPr>
                <w:sz w:val="20"/>
              </w:rPr>
              <w:t>5,000</w:t>
            </w:r>
          </w:p>
        </w:tc>
      </w:tr>
      <w:tr>
        <w:trPr>
          <w:trHeight w:val="311" w:hRule="atLeast"/>
        </w:trPr>
        <w:tc>
          <w:tcPr>
            <w:tcW w:w="4050" w:type="dxa"/>
          </w:tcPr>
          <w:p>
            <w:pPr>
              <w:pStyle w:val="TableParagraph"/>
              <w:spacing w:before="40"/>
              <w:rPr>
                <w:sz w:val="20"/>
              </w:rPr>
            </w:pPr>
            <w:r>
              <w:rPr>
                <w:sz w:val="20"/>
              </w:rPr>
              <w:t>Dormitories/Barracks</w:t>
            </w:r>
          </w:p>
        </w:tc>
        <w:tc>
          <w:tcPr>
            <w:tcW w:w="1707" w:type="dxa"/>
          </w:tcPr>
          <w:p>
            <w:pPr>
              <w:pStyle w:val="TableParagraph"/>
              <w:spacing w:before="40"/>
              <w:rPr>
                <w:sz w:val="20"/>
              </w:rPr>
            </w:pPr>
            <w:r>
              <w:rPr>
                <w:sz w:val="20"/>
              </w:rPr>
              <w:t>31</w:t>
            </w:r>
          </w:p>
        </w:tc>
        <w:tc>
          <w:tcPr>
            <w:tcW w:w="1848" w:type="dxa"/>
          </w:tcPr>
          <w:p>
            <w:pPr>
              <w:pStyle w:val="TableParagraph"/>
              <w:spacing w:before="40"/>
              <w:rPr>
                <w:sz w:val="20"/>
              </w:rPr>
            </w:pPr>
            <w:r>
              <w:rPr>
                <w:sz w:val="20"/>
              </w:rPr>
              <w:t>5,000</w:t>
            </w:r>
          </w:p>
        </w:tc>
      </w:tr>
      <w:tr>
        <w:trPr>
          <w:trHeight w:val="309" w:hRule="atLeast"/>
        </w:trPr>
        <w:tc>
          <w:tcPr>
            <w:tcW w:w="4050" w:type="dxa"/>
          </w:tcPr>
          <w:p>
            <w:pPr>
              <w:pStyle w:val="TableParagraph"/>
              <w:rPr>
                <w:sz w:val="20"/>
              </w:rPr>
            </w:pPr>
            <w:r>
              <w:rPr>
                <w:sz w:val="20"/>
              </w:rPr>
              <w:t>Hospital</w:t>
            </w:r>
          </w:p>
        </w:tc>
        <w:tc>
          <w:tcPr>
            <w:tcW w:w="1707" w:type="dxa"/>
          </w:tcPr>
          <w:p>
            <w:pPr>
              <w:pStyle w:val="TableParagraph"/>
              <w:rPr>
                <w:sz w:val="20"/>
              </w:rPr>
            </w:pPr>
            <w:r>
              <w:rPr>
                <w:sz w:val="20"/>
              </w:rPr>
              <w:t>21</w:t>
            </w:r>
          </w:p>
        </w:tc>
        <w:tc>
          <w:tcPr>
            <w:tcW w:w="1848" w:type="dxa"/>
          </w:tcPr>
          <w:p>
            <w:pPr>
              <w:pStyle w:val="TableParagraph"/>
              <w:rPr>
                <w:sz w:val="20"/>
              </w:rPr>
            </w:pPr>
            <w:r>
              <w:rPr>
                <w:sz w:val="20"/>
              </w:rPr>
              <w:t>5,000</w:t>
            </w:r>
          </w:p>
        </w:tc>
      </w:tr>
      <w:tr>
        <w:trPr>
          <w:trHeight w:val="309" w:hRule="atLeast"/>
        </w:trPr>
        <w:tc>
          <w:tcPr>
            <w:tcW w:w="4050" w:type="dxa"/>
          </w:tcPr>
          <w:p>
            <w:pPr>
              <w:pStyle w:val="TableParagraph"/>
              <w:rPr>
                <w:sz w:val="20"/>
              </w:rPr>
            </w:pPr>
            <w:r>
              <w:rPr>
                <w:sz w:val="20"/>
              </w:rPr>
              <w:t>Housing</w:t>
            </w:r>
          </w:p>
        </w:tc>
        <w:tc>
          <w:tcPr>
            <w:tcW w:w="1707" w:type="dxa"/>
          </w:tcPr>
          <w:p>
            <w:pPr>
              <w:pStyle w:val="TableParagraph"/>
              <w:rPr>
                <w:sz w:val="20"/>
              </w:rPr>
            </w:pPr>
            <w:r>
              <w:rPr>
                <w:sz w:val="20"/>
              </w:rPr>
              <w:t>30</w:t>
            </w:r>
          </w:p>
        </w:tc>
        <w:tc>
          <w:tcPr>
            <w:tcW w:w="1848" w:type="dxa"/>
          </w:tcPr>
          <w:p>
            <w:pPr>
              <w:pStyle w:val="TableParagraph"/>
              <w:rPr>
                <w:sz w:val="20"/>
              </w:rPr>
            </w:pPr>
            <w:r>
              <w:rPr>
                <w:sz w:val="20"/>
              </w:rPr>
              <w:t>5,000</w:t>
            </w:r>
          </w:p>
        </w:tc>
      </w:tr>
      <w:tr>
        <w:trPr>
          <w:trHeight w:val="311" w:hRule="atLeast"/>
        </w:trPr>
        <w:tc>
          <w:tcPr>
            <w:tcW w:w="4050" w:type="dxa"/>
          </w:tcPr>
          <w:p>
            <w:pPr>
              <w:pStyle w:val="TableParagraph"/>
              <w:rPr>
                <w:sz w:val="20"/>
              </w:rPr>
            </w:pPr>
            <w:r>
              <w:rPr>
                <w:sz w:val="20"/>
              </w:rPr>
              <w:t>Industrial***</w:t>
            </w:r>
          </w:p>
        </w:tc>
        <w:tc>
          <w:tcPr>
            <w:tcW w:w="1707" w:type="dxa"/>
          </w:tcPr>
          <w:p>
            <w:pPr>
              <w:pStyle w:val="TableParagraph"/>
              <w:rPr>
                <w:sz w:val="20"/>
              </w:rPr>
            </w:pPr>
            <w:r>
              <w:rPr>
                <w:sz w:val="20"/>
              </w:rPr>
              <w:t>50</w:t>
            </w:r>
          </w:p>
        </w:tc>
        <w:tc>
          <w:tcPr>
            <w:tcW w:w="1848" w:type="dxa"/>
          </w:tcPr>
          <w:p>
            <w:pPr>
              <w:pStyle w:val="TableParagraph"/>
              <w:rPr>
                <w:sz w:val="20"/>
              </w:rPr>
            </w:pPr>
            <w:r>
              <w:rPr>
                <w:sz w:val="20"/>
              </w:rPr>
              <w:t>5,000</w:t>
            </w:r>
          </w:p>
        </w:tc>
      </w:tr>
      <w:tr>
        <w:trPr>
          <w:trHeight w:val="309" w:hRule="atLeast"/>
        </w:trPr>
        <w:tc>
          <w:tcPr>
            <w:tcW w:w="4050" w:type="dxa"/>
          </w:tcPr>
          <w:p>
            <w:pPr>
              <w:pStyle w:val="TableParagraph"/>
              <w:rPr>
                <w:sz w:val="20"/>
              </w:rPr>
            </w:pPr>
            <w:r>
              <w:rPr>
                <w:sz w:val="20"/>
              </w:rPr>
              <w:t>Laboratories</w:t>
            </w:r>
          </w:p>
        </w:tc>
        <w:tc>
          <w:tcPr>
            <w:tcW w:w="1707" w:type="dxa"/>
          </w:tcPr>
          <w:p>
            <w:pPr>
              <w:pStyle w:val="TableParagraph"/>
              <w:rPr>
                <w:sz w:val="20"/>
              </w:rPr>
            </w:pPr>
            <w:r>
              <w:rPr>
                <w:sz w:val="20"/>
              </w:rPr>
              <w:t>74</w:t>
            </w:r>
          </w:p>
        </w:tc>
        <w:tc>
          <w:tcPr>
            <w:tcW w:w="1848" w:type="dxa"/>
          </w:tcPr>
          <w:p>
            <w:pPr>
              <w:pStyle w:val="TableParagraph"/>
              <w:rPr>
                <w:sz w:val="20"/>
              </w:rPr>
            </w:pPr>
            <w:r>
              <w:rPr>
                <w:sz w:val="20"/>
              </w:rPr>
              <w:t>5,000</w:t>
            </w:r>
          </w:p>
        </w:tc>
      </w:tr>
      <w:tr>
        <w:trPr>
          <w:trHeight w:val="309" w:hRule="atLeast"/>
        </w:trPr>
        <w:tc>
          <w:tcPr>
            <w:tcW w:w="4050" w:type="dxa"/>
          </w:tcPr>
          <w:p>
            <w:pPr>
              <w:pStyle w:val="TableParagraph"/>
              <w:rPr>
                <w:sz w:val="20"/>
              </w:rPr>
            </w:pPr>
            <w:r>
              <w:rPr>
                <w:sz w:val="20"/>
              </w:rPr>
              <w:t>Museum</w:t>
            </w:r>
          </w:p>
        </w:tc>
        <w:tc>
          <w:tcPr>
            <w:tcW w:w="1707" w:type="dxa"/>
          </w:tcPr>
          <w:p>
            <w:pPr>
              <w:pStyle w:val="TableParagraph"/>
              <w:rPr>
                <w:sz w:val="20"/>
              </w:rPr>
            </w:pPr>
            <w:r>
              <w:rPr>
                <w:sz w:val="20"/>
              </w:rPr>
              <w:t>28</w:t>
            </w:r>
          </w:p>
        </w:tc>
        <w:tc>
          <w:tcPr>
            <w:tcW w:w="1848" w:type="dxa"/>
          </w:tcPr>
          <w:p>
            <w:pPr>
              <w:pStyle w:val="TableParagraph"/>
              <w:rPr>
                <w:sz w:val="20"/>
              </w:rPr>
            </w:pPr>
            <w:r>
              <w:rPr>
                <w:sz w:val="20"/>
              </w:rPr>
              <w:t>5,000</w:t>
            </w:r>
          </w:p>
        </w:tc>
      </w:tr>
    </w:tbl>
    <w:p>
      <w:pPr>
        <w:spacing w:after="0"/>
        <w:rPr>
          <w:sz w:val="20"/>
        </w:rPr>
        <w:sectPr>
          <w:pgSz w:w="12240" w:h="15840"/>
          <w:pgMar w:header="724" w:footer="1020" w:top="1220" w:bottom="1220" w:left="860" w:right="680"/>
        </w:sectPr>
      </w:pPr>
    </w:p>
    <w:p>
      <w:pPr>
        <w:pStyle w:val="BodyText"/>
        <w:spacing w:before="10"/>
        <w:rPr>
          <w:b/>
          <w:sz w:val="18"/>
        </w:rPr>
      </w:pPr>
    </w:p>
    <w:tbl>
      <w:tblPr>
        <w:tblW w:w="0" w:type="auto"/>
        <w:jc w:val="left"/>
        <w:tblInd w:w="146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4050"/>
        <w:gridCol w:w="1707"/>
        <w:gridCol w:w="1848"/>
      </w:tblGrid>
      <w:tr>
        <w:trPr>
          <w:trHeight w:val="2807" w:hRule="atLeast"/>
        </w:trPr>
        <w:tc>
          <w:tcPr>
            <w:tcW w:w="4050" w:type="dxa"/>
            <w:shd w:val="clear" w:color="auto" w:fill="D9D9D9"/>
            <w:textDirection w:val="btLr"/>
          </w:tcPr>
          <w:p>
            <w:pPr>
              <w:pStyle w:val="TableParagraph"/>
              <w:spacing w:before="150"/>
              <w:ind w:left="-1"/>
              <w:rPr>
                <w:b/>
                <w:sz w:val="20"/>
              </w:rPr>
            </w:pPr>
            <w:r>
              <w:rPr>
                <w:b/>
                <w:sz w:val="20"/>
              </w:rPr>
              <w:t>Facility Function</w:t>
            </w:r>
          </w:p>
        </w:tc>
        <w:tc>
          <w:tcPr>
            <w:tcW w:w="1707" w:type="dxa"/>
            <w:shd w:val="clear" w:color="auto" w:fill="D9D9D9"/>
            <w:textDirection w:val="btLr"/>
          </w:tcPr>
          <w:p>
            <w:pPr>
              <w:pStyle w:val="TableParagraph"/>
              <w:spacing w:line="285" w:lineRule="auto" w:before="150"/>
              <w:ind w:left="-1" w:right="809"/>
              <w:rPr>
                <w:b/>
                <w:sz w:val="20"/>
              </w:rPr>
            </w:pPr>
            <w:r>
              <w:rPr>
                <w:b/>
                <w:sz w:val="20"/>
              </w:rPr>
              <w:t>Real Property Use or Category Code</w:t>
            </w:r>
          </w:p>
        </w:tc>
        <w:tc>
          <w:tcPr>
            <w:tcW w:w="1848" w:type="dxa"/>
            <w:shd w:val="clear" w:color="auto" w:fill="D9D9D9"/>
            <w:textDirection w:val="btLr"/>
          </w:tcPr>
          <w:p>
            <w:pPr>
              <w:pStyle w:val="TableParagraph"/>
              <w:spacing w:line="244" w:lineRule="auto" w:before="150"/>
              <w:ind w:left="-1"/>
              <w:rPr>
                <w:b/>
                <w:sz w:val="20"/>
              </w:rPr>
            </w:pPr>
            <w:bookmarkStart w:name="_bookmark13" w:id="21"/>
            <w:bookmarkEnd w:id="21"/>
            <w:r>
              <w:rPr/>
            </w:r>
            <w:r>
              <w:rPr>
                <w:b/>
                <w:sz w:val="20"/>
              </w:rPr>
              <w:t>Size SF(Greater than or Equal)</w:t>
            </w:r>
          </w:p>
        </w:tc>
      </w:tr>
      <w:tr>
        <w:trPr>
          <w:trHeight w:val="309" w:hRule="atLeast"/>
        </w:trPr>
        <w:tc>
          <w:tcPr>
            <w:tcW w:w="4050" w:type="dxa"/>
          </w:tcPr>
          <w:p>
            <w:pPr>
              <w:pStyle w:val="TableParagraph"/>
              <w:rPr>
                <w:sz w:val="20"/>
              </w:rPr>
            </w:pPr>
            <w:r>
              <w:rPr>
                <w:sz w:val="20"/>
              </w:rPr>
              <w:t>Aids To Navigation(ATON) and Traffic Aids</w:t>
            </w:r>
          </w:p>
        </w:tc>
        <w:tc>
          <w:tcPr>
            <w:tcW w:w="1707" w:type="dxa"/>
          </w:tcPr>
          <w:p>
            <w:pPr>
              <w:pStyle w:val="TableParagraph"/>
              <w:rPr>
                <w:sz w:val="20"/>
              </w:rPr>
            </w:pPr>
            <w:r>
              <w:rPr>
                <w:sz w:val="20"/>
              </w:rPr>
              <w:t>73</w:t>
            </w:r>
          </w:p>
        </w:tc>
        <w:tc>
          <w:tcPr>
            <w:tcW w:w="1848" w:type="dxa"/>
          </w:tcPr>
          <w:p>
            <w:pPr>
              <w:pStyle w:val="TableParagraph"/>
              <w:rPr>
                <w:sz w:val="20"/>
              </w:rPr>
            </w:pPr>
            <w:r>
              <w:rPr>
                <w:sz w:val="20"/>
              </w:rPr>
              <w:t>5,000</w:t>
            </w:r>
          </w:p>
        </w:tc>
      </w:tr>
      <w:tr>
        <w:trPr>
          <w:trHeight w:val="309" w:hRule="atLeast"/>
        </w:trPr>
        <w:tc>
          <w:tcPr>
            <w:tcW w:w="4050" w:type="dxa"/>
          </w:tcPr>
          <w:p>
            <w:pPr>
              <w:pStyle w:val="TableParagraph"/>
              <w:rPr>
                <w:sz w:val="20"/>
              </w:rPr>
            </w:pPr>
            <w:r>
              <w:rPr>
                <w:sz w:val="20"/>
              </w:rPr>
              <w:t>Office Building Locations</w:t>
            </w:r>
          </w:p>
        </w:tc>
        <w:tc>
          <w:tcPr>
            <w:tcW w:w="1707" w:type="dxa"/>
          </w:tcPr>
          <w:p>
            <w:pPr>
              <w:pStyle w:val="TableParagraph"/>
              <w:rPr>
                <w:sz w:val="20"/>
              </w:rPr>
            </w:pPr>
            <w:r>
              <w:rPr>
                <w:sz w:val="20"/>
              </w:rPr>
              <w:t>10</w:t>
            </w:r>
          </w:p>
        </w:tc>
        <w:tc>
          <w:tcPr>
            <w:tcW w:w="1848" w:type="dxa"/>
          </w:tcPr>
          <w:p>
            <w:pPr>
              <w:pStyle w:val="TableParagraph"/>
              <w:rPr>
                <w:sz w:val="20"/>
              </w:rPr>
            </w:pPr>
            <w:r>
              <w:rPr>
                <w:sz w:val="20"/>
              </w:rPr>
              <w:t>5,000</w:t>
            </w:r>
          </w:p>
        </w:tc>
      </w:tr>
      <w:tr>
        <w:trPr>
          <w:trHeight w:val="312" w:hRule="atLeast"/>
        </w:trPr>
        <w:tc>
          <w:tcPr>
            <w:tcW w:w="4050" w:type="dxa"/>
          </w:tcPr>
          <w:p>
            <w:pPr>
              <w:pStyle w:val="TableParagraph"/>
              <w:spacing w:before="41"/>
              <w:rPr>
                <w:sz w:val="20"/>
              </w:rPr>
            </w:pPr>
            <w:r>
              <w:rPr>
                <w:sz w:val="20"/>
              </w:rPr>
              <w:t>Other Institutional Uses ***</w:t>
            </w:r>
          </w:p>
        </w:tc>
        <w:tc>
          <w:tcPr>
            <w:tcW w:w="1707" w:type="dxa"/>
          </w:tcPr>
          <w:p>
            <w:pPr>
              <w:pStyle w:val="TableParagraph"/>
              <w:spacing w:before="41"/>
              <w:rPr>
                <w:sz w:val="20"/>
              </w:rPr>
            </w:pPr>
            <w:r>
              <w:rPr>
                <w:sz w:val="20"/>
              </w:rPr>
              <w:t>29</w:t>
            </w:r>
          </w:p>
        </w:tc>
        <w:tc>
          <w:tcPr>
            <w:tcW w:w="1848" w:type="dxa"/>
          </w:tcPr>
          <w:p>
            <w:pPr>
              <w:pStyle w:val="TableParagraph"/>
              <w:spacing w:before="41"/>
              <w:rPr>
                <w:sz w:val="20"/>
              </w:rPr>
            </w:pPr>
            <w:r>
              <w:rPr>
                <w:sz w:val="20"/>
              </w:rPr>
              <w:t>5,000</w:t>
            </w:r>
          </w:p>
        </w:tc>
      </w:tr>
      <w:tr>
        <w:trPr>
          <w:trHeight w:val="309" w:hRule="atLeast"/>
        </w:trPr>
        <w:tc>
          <w:tcPr>
            <w:tcW w:w="4050" w:type="dxa"/>
          </w:tcPr>
          <w:p>
            <w:pPr>
              <w:pStyle w:val="TableParagraph"/>
              <w:rPr>
                <w:sz w:val="20"/>
              </w:rPr>
            </w:pPr>
            <w:r>
              <w:rPr>
                <w:sz w:val="20"/>
              </w:rPr>
              <w:t>Post Office</w:t>
            </w:r>
          </w:p>
        </w:tc>
        <w:tc>
          <w:tcPr>
            <w:tcW w:w="1707" w:type="dxa"/>
          </w:tcPr>
          <w:p>
            <w:pPr>
              <w:pStyle w:val="TableParagraph"/>
              <w:rPr>
                <w:sz w:val="20"/>
              </w:rPr>
            </w:pPr>
            <w:r>
              <w:rPr>
                <w:sz w:val="20"/>
              </w:rPr>
              <w:t>14</w:t>
            </w:r>
          </w:p>
        </w:tc>
        <w:tc>
          <w:tcPr>
            <w:tcW w:w="1848" w:type="dxa"/>
          </w:tcPr>
          <w:p>
            <w:pPr>
              <w:pStyle w:val="TableParagraph"/>
              <w:rPr>
                <w:sz w:val="20"/>
              </w:rPr>
            </w:pPr>
            <w:r>
              <w:rPr>
                <w:sz w:val="20"/>
              </w:rPr>
              <w:t>5,000</w:t>
            </w:r>
          </w:p>
        </w:tc>
      </w:tr>
      <w:tr>
        <w:trPr>
          <w:trHeight w:val="309" w:hRule="atLeast"/>
        </w:trPr>
        <w:tc>
          <w:tcPr>
            <w:tcW w:w="4050" w:type="dxa"/>
          </w:tcPr>
          <w:p>
            <w:pPr>
              <w:pStyle w:val="TableParagraph"/>
              <w:rPr>
                <w:sz w:val="20"/>
              </w:rPr>
            </w:pPr>
            <w:r>
              <w:rPr>
                <w:sz w:val="20"/>
              </w:rPr>
              <w:t>School</w:t>
            </w:r>
          </w:p>
        </w:tc>
        <w:tc>
          <w:tcPr>
            <w:tcW w:w="1707" w:type="dxa"/>
          </w:tcPr>
          <w:p>
            <w:pPr>
              <w:pStyle w:val="TableParagraph"/>
              <w:rPr>
                <w:sz w:val="20"/>
              </w:rPr>
            </w:pPr>
            <w:r>
              <w:rPr>
                <w:sz w:val="20"/>
              </w:rPr>
              <w:t>23</w:t>
            </w:r>
          </w:p>
        </w:tc>
        <w:tc>
          <w:tcPr>
            <w:tcW w:w="1848" w:type="dxa"/>
          </w:tcPr>
          <w:p>
            <w:pPr>
              <w:pStyle w:val="TableParagraph"/>
              <w:rPr>
                <w:sz w:val="20"/>
              </w:rPr>
            </w:pPr>
            <w:r>
              <w:rPr>
                <w:sz w:val="20"/>
              </w:rPr>
              <w:t>5,000</w:t>
            </w:r>
          </w:p>
        </w:tc>
      </w:tr>
      <w:tr>
        <w:trPr>
          <w:trHeight w:val="311" w:hRule="atLeast"/>
        </w:trPr>
        <w:tc>
          <w:tcPr>
            <w:tcW w:w="4050" w:type="dxa"/>
          </w:tcPr>
          <w:p>
            <w:pPr>
              <w:pStyle w:val="TableParagraph"/>
              <w:spacing w:before="40"/>
              <w:rPr>
                <w:sz w:val="20"/>
              </w:rPr>
            </w:pPr>
            <w:r>
              <w:rPr>
                <w:sz w:val="20"/>
              </w:rPr>
              <w:t>Service (other than buildings) ****</w:t>
            </w:r>
          </w:p>
        </w:tc>
        <w:tc>
          <w:tcPr>
            <w:tcW w:w="1707" w:type="dxa"/>
          </w:tcPr>
          <w:p>
            <w:pPr>
              <w:pStyle w:val="TableParagraph"/>
              <w:spacing w:before="40"/>
              <w:rPr>
                <w:sz w:val="20"/>
              </w:rPr>
            </w:pPr>
            <w:r>
              <w:rPr>
                <w:sz w:val="20"/>
              </w:rPr>
              <w:t>60</w:t>
            </w:r>
          </w:p>
        </w:tc>
        <w:tc>
          <w:tcPr>
            <w:tcW w:w="1848" w:type="dxa"/>
          </w:tcPr>
          <w:p>
            <w:pPr>
              <w:pStyle w:val="TableParagraph"/>
              <w:spacing w:before="40"/>
              <w:rPr>
                <w:sz w:val="20"/>
              </w:rPr>
            </w:pPr>
            <w:r>
              <w:rPr>
                <w:sz w:val="20"/>
              </w:rPr>
              <w:t>5,000</w:t>
            </w:r>
          </w:p>
        </w:tc>
      </w:tr>
      <w:tr>
        <w:trPr>
          <w:trHeight w:val="309" w:hRule="atLeast"/>
        </w:trPr>
        <w:tc>
          <w:tcPr>
            <w:tcW w:w="4050" w:type="dxa"/>
          </w:tcPr>
          <w:p>
            <w:pPr>
              <w:pStyle w:val="TableParagraph"/>
              <w:rPr>
                <w:sz w:val="20"/>
              </w:rPr>
            </w:pPr>
            <w:r>
              <w:rPr>
                <w:sz w:val="20"/>
              </w:rPr>
              <w:t>Warehouses</w:t>
            </w:r>
          </w:p>
        </w:tc>
        <w:tc>
          <w:tcPr>
            <w:tcW w:w="1707" w:type="dxa"/>
          </w:tcPr>
          <w:p>
            <w:pPr>
              <w:pStyle w:val="TableParagraph"/>
              <w:rPr>
                <w:sz w:val="20"/>
              </w:rPr>
            </w:pPr>
            <w:r>
              <w:rPr>
                <w:sz w:val="20"/>
              </w:rPr>
              <w:t>41</w:t>
            </w:r>
          </w:p>
        </w:tc>
        <w:tc>
          <w:tcPr>
            <w:tcW w:w="1848" w:type="dxa"/>
          </w:tcPr>
          <w:p>
            <w:pPr>
              <w:pStyle w:val="TableParagraph"/>
              <w:rPr>
                <w:sz w:val="20"/>
              </w:rPr>
            </w:pPr>
            <w:r>
              <w:rPr>
                <w:sz w:val="20"/>
              </w:rPr>
              <w:t>25,000</w:t>
            </w:r>
          </w:p>
        </w:tc>
      </w:tr>
      <w:tr>
        <w:trPr>
          <w:trHeight w:val="309" w:hRule="atLeast"/>
        </w:trPr>
        <w:tc>
          <w:tcPr>
            <w:tcW w:w="4050" w:type="dxa"/>
          </w:tcPr>
          <w:p>
            <w:pPr>
              <w:pStyle w:val="TableParagraph"/>
              <w:rPr>
                <w:sz w:val="20"/>
              </w:rPr>
            </w:pPr>
            <w:r>
              <w:rPr>
                <w:sz w:val="20"/>
              </w:rPr>
              <w:t>Pier/Wharf (one meter per shore tie)</w:t>
            </w:r>
          </w:p>
        </w:tc>
        <w:tc>
          <w:tcPr>
            <w:tcW w:w="1707" w:type="dxa"/>
          </w:tcPr>
          <w:p>
            <w:pPr>
              <w:pStyle w:val="TableParagraph"/>
              <w:rPr>
                <w:sz w:val="20"/>
              </w:rPr>
            </w:pPr>
            <w:r>
              <w:rPr>
                <w:sz w:val="20"/>
              </w:rPr>
              <w:t>151-20</w:t>
            </w:r>
          </w:p>
        </w:tc>
        <w:tc>
          <w:tcPr>
            <w:tcW w:w="1848" w:type="dxa"/>
          </w:tcPr>
          <w:p>
            <w:pPr>
              <w:pStyle w:val="TableParagraph"/>
              <w:rPr>
                <w:sz w:val="20"/>
              </w:rPr>
            </w:pPr>
            <w:r>
              <w:rPr>
                <w:sz w:val="20"/>
              </w:rPr>
              <w:t>Cutters</w:t>
            </w:r>
          </w:p>
        </w:tc>
      </w:tr>
      <w:tr>
        <w:trPr>
          <w:trHeight w:val="311" w:hRule="atLeast"/>
        </w:trPr>
        <w:tc>
          <w:tcPr>
            <w:tcW w:w="4050" w:type="dxa"/>
          </w:tcPr>
          <w:p>
            <w:pPr>
              <w:pStyle w:val="TableParagraph"/>
              <w:spacing w:before="40"/>
              <w:rPr>
                <w:sz w:val="20"/>
              </w:rPr>
            </w:pPr>
            <w:r>
              <w:rPr>
                <w:sz w:val="20"/>
              </w:rPr>
              <w:t>Pier/Wharf (master meter for all shore ties)</w:t>
            </w:r>
          </w:p>
        </w:tc>
        <w:tc>
          <w:tcPr>
            <w:tcW w:w="1707" w:type="dxa"/>
          </w:tcPr>
          <w:p>
            <w:pPr>
              <w:pStyle w:val="TableParagraph"/>
              <w:spacing w:before="40"/>
              <w:rPr>
                <w:sz w:val="20"/>
              </w:rPr>
            </w:pPr>
            <w:r>
              <w:rPr>
                <w:sz w:val="20"/>
              </w:rPr>
              <w:t>151-20</w:t>
            </w:r>
          </w:p>
        </w:tc>
        <w:tc>
          <w:tcPr>
            <w:tcW w:w="1848" w:type="dxa"/>
          </w:tcPr>
          <w:p>
            <w:pPr>
              <w:pStyle w:val="TableParagraph"/>
              <w:spacing w:before="40"/>
              <w:rPr>
                <w:sz w:val="20"/>
              </w:rPr>
            </w:pPr>
            <w:r>
              <w:rPr>
                <w:sz w:val="20"/>
              </w:rPr>
              <w:t>Other Vessels</w:t>
            </w:r>
          </w:p>
        </w:tc>
      </w:tr>
      <w:tr>
        <w:trPr>
          <w:trHeight w:val="309" w:hRule="atLeast"/>
        </w:trPr>
        <w:tc>
          <w:tcPr>
            <w:tcW w:w="4050" w:type="dxa"/>
          </w:tcPr>
          <w:p>
            <w:pPr>
              <w:pStyle w:val="TableParagraph"/>
              <w:rPr>
                <w:sz w:val="20"/>
              </w:rPr>
            </w:pPr>
            <w:r>
              <w:rPr>
                <w:sz w:val="20"/>
              </w:rPr>
              <w:t>Aircraft Hangar</w:t>
            </w:r>
          </w:p>
        </w:tc>
        <w:tc>
          <w:tcPr>
            <w:tcW w:w="1707" w:type="dxa"/>
          </w:tcPr>
          <w:p>
            <w:pPr>
              <w:pStyle w:val="TableParagraph"/>
              <w:rPr>
                <w:sz w:val="20"/>
              </w:rPr>
            </w:pPr>
            <w:r>
              <w:rPr>
                <w:sz w:val="20"/>
              </w:rPr>
              <w:t>211-05</w:t>
            </w:r>
          </w:p>
        </w:tc>
        <w:tc>
          <w:tcPr>
            <w:tcW w:w="1848" w:type="dxa"/>
          </w:tcPr>
          <w:p>
            <w:pPr>
              <w:pStyle w:val="TableParagraph"/>
              <w:rPr>
                <w:sz w:val="20"/>
              </w:rPr>
            </w:pPr>
            <w:r>
              <w:rPr>
                <w:sz w:val="20"/>
              </w:rPr>
              <w:t>25,000</w:t>
            </w:r>
          </w:p>
        </w:tc>
      </w:tr>
      <w:tr>
        <w:trPr>
          <w:trHeight w:val="309" w:hRule="atLeast"/>
        </w:trPr>
        <w:tc>
          <w:tcPr>
            <w:tcW w:w="4050" w:type="dxa"/>
          </w:tcPr>
          <w:p>
            <w:pPr>
              <w:pStyle w:val="TableParagraph"/>
              <w:rPr>
                <w:sz w:val="20"/>
              </w:rPr>
            </w:pPr>
            <w:r>
              <w:rPr>
                <w:sz w:val="20"/>
              </w:rPr>
              <w:t>Exchange Eating Facility</w:t>
            </w:r>
          </w:p>
        </w:tc>
        <w:tc>
          <w:tcPr>
            <w:tcW w:w="1707" w:type="dxa"/>
          </w:tcPr>
          <w:p>
            <w:pPr>
              <w:pStyle w:val="TableParagraph"/>
              <w:rPr>
                <w:sz w:val="20"/>
              </w:rPr>
            </w:pPr>
            <w:r>
              <w:rPr>
                <w:sz w:val="20"/>
              </w:rPr>
              <w:t>740-04</w:t>
            </w:r>
          </w:p>
        </w:tc>
        <w:tc>
          <w:tcPr>
            <w:tcW w:w="1848" w:type="dxa"/>
          </w:tcPr>
          <w:p>
            <w:pPr>
              <w:pStyle w:val="TableParagraph"/>
              <w:rPr>
                <w:sz w:val="20"/>
              </w:rPr>
            </w:pPr>
            <w:r>
              <w:rPr>
                <w:sz w:val="20"/>
              </w:rPr>
              <w:t>1,000</w:t>
            </w:r>
          </w:p>
        </w:tc>
      </w:tr>
      <w:tr>
        <w:trPr>
          <w:trHeight w:val="311" w:hRule="atLeast"/>
        </w:trPr>
        <w:tc>
          <w:tcPr>
            <w:tcW w:w="4050" w:type="dxa"/>
          </w:tcPr>
          <w:p>
            <w:pPr>
              <w:pStyle w:val="TableParagraph"/>
              <w:rPr>
                <w:sz w:val="20"/>
              </w:rPr>
            </w:pPr>
            <w:r>
              <w:rPr>
                <w:sz w:val="20"/>
              </w:rPr>
              <w:t>Cold Storage Building</w:t>
            </w:r>
          </w:p>
        </w:tc>
        <w:tc>
          <w:tcPr>
            <w:tcW w:w="1707" w:type="dxa"/>
          </w:tcPr>
          <w:p>
            <w:pPr>
              <w:pStyle w:val="TableParagraph"/>
              <w:rPr>
                <w:sz w:val="20"/>
              </w:rPr>
            </w:pPr>
            <w:r>
              <w:rPr>
                <w:sz w:val="20"/>
              </w:rPr>
              <w:t>740-24</w:t>
            </w:r>
          </w:p>
        </w:tc>
        <w:tc>
          <w:tcPr>
            <w:tcW w:w="1848" w:type="dxa"/>
          </w:tcPr>
          <w:p>
            <w:pPr>
              <w:pStyle w:val="TableParagraph"/>
              <w:rPr>
                <w:sz w:val="20"/>
              </w:rPr>
            </w:pPr>
            <w:r>
              <w:rPr>
                <w:sz w:val="20"/>
              </w:rPr>
              <w:t>1,000</w:t>
            </w:r>
          </w:p>
        </w:tc>
      </w:tr>
      <w:tr>
        <w:trPr>
          <w:trHeight w:val="309" w:hRule="atLeast"/>
        </w:trPr>
        <w:tc>
          <w:tcPr>
            <w:tcW w:w="4050" w:type="dxa"/>
          </w:tcPr>
          <w:p>
            <w:pPr>
              <w:pStyle w:val="TableParagraph"/>
              <w:rPr>
                <w:sz w:val="20"/>
              </w:rPr>
            </w:pPr>
            <w:r>
              <w:rPr>
                <w:sz w:val="20"/>
              </w:rPr>
              <w:t>Recreation Center</w:t>
            </w:r>
          </w:p>
        </w:tc>
        <w:tc>
          <w:tcPr>
            <w:tcW w:w="1707" w:type="dxa"/>
          </w:tcPr>
          <w:p>
            <w:pPr>
              <w:pStyle w:val="TableParagraph"/>
              <w:rPr>
                <w:sz w:val="20"/>
              </w:rPr>
            </w:pPr>
            <w:r>
              <w:rPr>
                <w:sz w:val="20"/>
              </w:rPr>
              <w:t>740-28</w:t>
            </w:r>
          </w:p>
        </w:tc>
        <w:tc>
          <w:tcPr>
            <w:tcW w:w="1848" w:type="dxa"/>
          </w:tcPr>
          <w:p>
            <w:pPr>
              <w:pStyle w:val="TableParagraph"/>
              <w:rPr>
                <w:sz w:val="20"/>
              </w:rPr>
            </w:pPr>
            <w:r>
              <w:rPr>
                <w:sz w:val="20"/>
              </w:rPr>
              <w:t>1,000</w:t>
            </w:r>
          </w:p>
        </w:tc>
      </w:tr>
      <w:tr>
        <w:trPr>
          <w:trHeight w:val="309" w:hRule="atLeast"/>
        </w:trPr>
        <w:tc>
          <w:tcPr>
            <w:tcW w:w="4050" w:type="dxa"/>
          </w:tcPr>
          <w:p>
            <w:pPr>
              <w:pStyle w:val="TableParagraph"/>
              <w:rPr>
                <w:sz w:val="20"/>
              </w:rPr>
            </w:pPr>
            <w:r>
              <w:rPr>
                <w:sz w:val="20"/>
              </w:rPr>
              <w:t>Bowling Center</w:t>
            </w:r>
          </w:p>
        </w:tc>
        <w:tc>
          <w:tcPr>
            <w:tcW w:w="1707" w:type="dxa"/>
          </w:tcPr>
          <w:p>
            <w:pPr>
              <w:pStyle w:val="TableParagraph"/>
              <w:rPr>
                <w:sz w:val="20"/>
              </w:rPr>
            </w:pPr>
            <w:r>
              <w:rPr>
                <w:sz w:val="20"/>
              </w:rPr>
              <w:t>740-40</w:t>
            </w:r>
          </w:p>
        </w:tc>
        <w:tc>
          <w:tcPr>
            <w:tcW w:w="1848" w:type="dxa"/>
          </w:tcPr>
          <w:p>
            <w:pPr>
              <w:pStyle w:val="TableParagraph"/>
              <w:rPr>
                <w:sz w:val="20"/>
              </w:rPr>
            </w:pPr>
            <w:r>
              <w:rPr>
                <w:sz w:val="20"/>
              </w:rPr>
              <w:t>1,000</w:t>
            </w:r>
          </w:p>
        </w:tc>
      </w:tr>
      <w:tr>
        <w:trPr>
          <w:trHeight w:val="311" w:hRule="atLeast"/>
        </w:trPr>
        <w:tc>
          <w:tcPr>
            <w:tcW w:w="4050" w:type="dxa"/>
          </w:tcPr>
          <w:p>
            <w:pPr>
              <w:pStyle w:val="TableParagraph"/>
              <w:rPr>
                <w:sz w:val="20"/>
              </w:rPr>
            </w:pPr>
            <w:r>
              <w:rPr>
                <w:sz w:val="20"/>
              </w:rPr>
              <w:t>Golf Club House and Sales</w:t>
            </w:r>
          </w:p>
        </w:tc>
        <w:tc>
          <w:tcPr>
            <w:tcW w:w="1707" w:type="dxa"/>
          </w:tcPr>
          <w:p>
            <w:pPr>
              <w:pStyle w:val="TableParagraph"/>
              <w:rPr>
                <w:sz w:val="20"/>
              </w:rPr>
            </w:pPr>
            <w:r>
              <w:rPr>
                <w:sz w:val="20"/>
              </w:rPr>
              <w:t>740-80</w:t>
            </w:r>
          </w:p>
        </w:tc>
        <w:tc>
          <w:tcPr>
            <w:tcW w:w="1848" w:type="dxa"/>
          </w:tcPr>
          <w:p>
            <w:pPr>
              <w:pStyle w:val="TableParagraph"/>
              <w:rPr>
                <w:sz w:val="20"/>
              </w:rPr>
            </w:pPr>
            <w:r>
              <w:rPr>
                <w:sz w:val="20"/>
              </w:rPr>
              <w:t>1,000</w:t>
            </w:r>
          </w:p>
        </w:tc>
      </w:tr>
    </w:tbl>
    <w:p>
      <w:pPr>
        <w:tabs>
          <w:tab w:pos="1785" w:val="left" w:leader="none"/>
        </w:tabs>
        <w:spacing w:before="79"/>
        <w:ind w:left="1487" w:right="0" w:firstLine="0"/>
        <w:jc w:val="left"/>
        <w:rPr>
          <w:sz w:val="20"/>
        </w:rPr>
      </w:pPr>
      <w:r>
        <w:rPr>
          <w:sz w:val="20"/>
        </w:rPr>
        <w:t>*</w:t>
        <w:tab/>
        <w:t>Or as practicable – See </w:t>
      </w:r>
      <w:hyperlink w:history="true" w:anchor="_bookmark44">
        <w:r>
          <w:rPr>
            <w:sz w:val="20"/>
          </w:rPr>
          <w:t>Appendix</w:t>
        </w:r>
        <w:r>
          <w:rPr>
            <w:spacing w:val="2"/>
            <w:sz w:val="20"/>
          </w:rPr>
          <w:t> </w:t>
        </w:r>
        <w:r>
          <w:rPr>
            <w:sz w:val="20"/>
          </w:rPr>
          <w:t>A</w:t>
        </w:r>
      </w:hyperlink>
    </w:p>
    <w:p>
      <w:pPr>
        <w:spacing w:before="77"/>
        <w:ind w:left="1480" w:right="0" w:firstLine="0"/>
        <w:jc w:val="left"/>
        <w:rPr>
          <w:sz w:val="20"/>
        </w:rPr>
      </w:pPr>
      <w:r>
        <w:rPr>
          <w:sz w:val="20"/>
        </w:rPr>
        <w:t>** Except 740 CATCODES listed in this table</w:t>
      </w:r>
    </w:p>
    <w:p>
      <w:pPr>
        <w:spacing w:before="41"/>
        <w:ind w:left="1480" w:right="0" w:firstLine="0"/>
        <w:jc w:val="left"/>
        <w:rPr>
          <w:sz w:val="20"/>
        </w:rPr>
      </w:pPr>
      <w:r>
        <w:rPr>
          <w:sz w:val="20"/>
        </w:rPr>
        <w:t>*** Some facilities &lt; 5,000 may require metering pending energy analysis</w:t>
      </w:r>
    </w:p>
    <w:p>
      <w:pPr>
        <w:spacing w:before="39"/>
        <w:ind w:left="1480" w:right="0" w:firstLine="0"/>
        <w:jc w:val="left"/>
        <w:rPr>
          <w:sz w:val="20"/>
        </w:rPr>
      </w:pPr>
      <w:r>
        <w:rPr>
          <w:sz w:val="20"/>
        </w:rPr>
        <w:t>**** Except hangars (211-05)</w:t>
      </w:r>
    </w:p>
    <w:p>
      <w:pPr>
        <w:pStyle w:val="BodyText"/>
      </w:pPr>
    </w:p>
    <w:p>
      <w:pPr>
        <w:spacing w:before="140"/>
        <w:ind w:left="3329" w:right="0" w:firstLine="0"/>
        <w:jc w:val="left"/>
        <w:rPr>
          <w:b/>
          <w:sz w:val="18"/>
        </w:rPr>
      </w:pPr>
      <w:r>
        <w:rPr>
          <w:b/>
          <w:sz w:val="18"/>
        </w:rPr>
        <w:t>Table 2-2 Advanced Water Meter Thresholds*</w:t>
      </w:r>
    </w:p>
    <w:p>
      <w:pPr>
        <w:pStyle w:val="BodyText"/>
        <w:spacing w:before="8"/>
        <w:rPr>
          <w:b/>
          <w:sz w:val="5"/>
        </w:rPr>
      </w:pPr>
    </w:p>
    <w:tbl>
      <w:tblPr>
        <w:tblW w:w="0" w:type="auto"/>
        <w:jc w:val="left"/>
        <w:tblInd w:w="69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5509"/>
        <w:gridCol w:w="3601"/>
      </w:tblGrid>
      <w:tr>
        <w:trPr>
          <w:trHeight w:val="299" w:hRule="atLeast"/>
        </w:trPr>
        <w:tc>
          <w:tcPr>
            <w:tcW w:w="5509" w:type="dxa"/>
            <w:shd w:val="clear" w:color="auto" w:fill="D9D9D9"/>
          </w:tcPr>
          <w:p>
            <w:pPr>
              <w:pStyle w:val="TableParagraph"/>
              <w:spacing w:before="33"/>
              <w:rPr>
                <w:b/>
                <w:sz w:val="20"/>
              </w:rPr>
            </w:pPr>
            <w:r>
              <w:rPr>
                <w:b/>
                <w:sz w:val="20"/>
              </w:rPr>
              <w:t>Facility Function</w:t>
            </w:r>
          </w:p>
        </w:tc>
        <w:tc>
          <w:tcPr>
            <w:tcW w:w="3601" w:type="dxa"/>
            <w:shd w:val="clear" w:color="auto" w:fill="D9D9D9"/>
          </w:tcPr>
          <w:p>
            <w:pPr>
              <w:pStyle w:val="TableParagraph"/>
              <w:spacing w:before="33"/>
              <w:rPr>
                <w:b/>
                <w:sz w:val="20"/>
              </w:rPr>
            </w:pPr>
            <w:r>
              <w:rPr>
                <w:b/>
                <w:sz w:val="20"/>
              </w:rPr>
              <w:t>Water Usage</w:t>
            </w:r>
          </w:p>
        </w:tc>
      </w:tr>
      <w:tr>
        <w:trPr>
          <w:trHeight w:val="301" w:hRule="atLeast"/>
        </w:trPr>
        <w:tc>
          <w:tcPr>
            <w:tcW w:w="5509" w:type="dxa"/>
          </w:tcPr>
          <w:p>
            <w:pPr>
              <w:pStyle w:val="TableParagraph"/>
              <w:spacing w:line="229" w:lineRule="exact" w:before="0"/>
              <w:rPr>
                <w:sz w:val="20"/>
              </w:rPr>
            </w:pPr>
            <w:r>
              <w:rPr>
                <w:sz w:val="20"/>
              </w:rPr>
              <w:t>Pier/Wharf (one meter per shore tie)</w:t>
            </w:r>
          </w:p>
        </w:tc>
        <w:tc>
          <w:tcPr>
            <w:tcW w:w="3601" w:type="dxa"/>
          </w:tcPr>
          <w:p>
            <w:pPr>
              <w:pStyle w:val="TableParagraph"/>
              <w:spacing w:before="35"/>
              <w:rPr>
                <w:sz w:val="20"/>
              </w:rPr>
            </w:pPr>
            <w:r>
              <w:rPr>
                <w:sz w:val="20"/>
              </w:rPr>
              <w:t>Cutters</w:t>
            </w:r>
          </w:p>
        </w:tc>
      </w:tr>
      <w:tr>
        <w:trPr>
          <w:trHeight w:val="300" w:hRule="atLeast"/>
        </w:trPr>
        <w:tc>
          <w:tcPr>
            <w:tcW w:w="5509" w:type="dxa"/>
          </w:tcPr>
          <w:p>
            <w:pPr>
              <w:pStyle w:val="TableParagraph"/>
              <w:spacing w:line="229" w:lineRule="exact" w:before="0"/>
              <w:rPr>
                <w:sz w:val="20"/>
              </w:rPr>
            </w:pPr>
            <w:r>
              <w:rPr>
                <w:sz w:val="20"/>
              </w:rPr>
              <w:t>Pier/Wharf (master meter for all shore ties)</w:t>
            </w:r>
          </w:p>
        </w:tc>
        <w:tc>
          <w:tcPr>
            <w:tcW w:w="3601" w:type="dxa"/>
          </w:tcPr>
          <w:p>
            <w:pPr>
              <w:pStyle w:val="TableParagraph"/>
              <w:spacing w:before="33"/>
              <w:rPr>
                <w:sz w:val="20"/>
              </w:rPr>
            </w:pPr>
            <w:r>
              <w:rPr>
                <w:sz w:val="20"/>
              </w:rPr>
              <w:t>Other Vessels</w:t>
            </w:r>
          </w:p>
        </w:tc>
      </w:tr>
      <w:tr>
        <w:trPr>
          <w:trHeight w:val="299" w:hRule="atLeast"/>
        </w:trPr>
        <w:tc>
          <w:tcPr>
            <w:tcW w:w="5509" w:type="dxa"/>
          </w:tcPr>
          <w:p>
            <w:pPr>
              <w:pStyle w:val="TableParagraph"/>
              <w:spacing w:before="33"/>
              <w:rPr>
                <w:sz w:val="20"/>
              </w:rPr>
            </w:pPr>
            <w:r>
              <w:rPr>
                <w:sz w:val="20"/>
              </w:rPr>
              <w:t>Large Water Using Process</w:t>
            </w:r>
          </w:p>
        </w:tc>
        <w:tc>
          <w:tcPr>
            <w:tcW w:w="3601" w:type="dxa"/>
          </w:tcPr>
          <w:p>
            <w:pPr>
              <w:pStyle w:val="TableParagraph"/>
              <w:spacing w:before="33"/>
              <w:rPr>
                <w:sz w:val="20"/>
              </w:rPr>
            </w:pPr>
            <w:r>
              <w:rPr>
                <w:sz w:val="20"/>
              </w:rPr>
              <w:t>&gt; 1,000 gal/day per billing period**</w:t>
            </w:r>
          </w:p>
        </w:tc>
      </w:tr>
      <w:tr>
        <w:trPr>
          <w:trHeight w:val="299" w:hRule="atLeast"/>
        </w:trPr>
        <w:tc>
          <w:tcPr>
            <w:tcW w:w="5509" w:type="dxa"/>
          </w:tcPr>
          <w:p>
            <w:pPr>
              <w:pStyle w:val="TableParagraph"/>
              <w:spacing w:before="35"/>
              <w:rPr>
                <w:sz w:val="20"/>
              </w:rPr>
            </w:pPr>
            <w:r>
              <w:rPr>
                <w:sz w:val="20"/>
              </w:rPr>
              <w:t>Irrigated Landscape Area</w:t>
            </w:r>
          </w:p>
        </w:tc>
        <w:tc>
          <w:tcPr>
            <w:tcW w:w="3601" w:type="dxa"/>
          </w:tcPr>
          <w:p>
            <w:pPr>
              <w:pStyle w:val="TableParagraph"/>
              <w:spacing w:before="35"/>
              <w:rPr>
                <w:sz w:val="20"/>
              </w:rPr>
            </w:pPr>
            <w:r>
              <w:rPr>
                <w:sz w:val="20"/>
              </w:rPr>
              <w:t>&gt; 25,000 square feet</w:t>
            </w:r>
          </w:p>
        </w:tc>
      </w:tr>
      <w:tr>
        <w:trPr>
          <w:trHeight w:val="299" w:hRule="atLeast"/>
        </w:trPr>
        <w:tc>
          <w:tcPr>
            <w:tcW w:w="5509" w:type="dxa"/>
          </w:tcPr>
          <w:p>
            <w:pPr>
              <w:pStyle w:val="TableParagraph"/>
              <w:spacing w:before="35"/>
              <w:rPr>
                <w:sz w:val="20"/>
              </w:rPr>
            </w:pPr>
            <w:r>
              <w:rPr>
                <w:sz w:val="20"/>
              </w:rPr>
              <w:t>All Building Functions &gt; 5,000 square feet</w:t>
            </w:r>
          </w:p>
        </w:tc>
        <w:tc>
          <w:tcPr>
            <w:tcW w:w="3601" w:type="dxa"/>
          </w:tcPr>
          <w:p>
            <w:pPr>
              <w:pStyle w:val="TableParagraph"/>
              <w:spacing w:before="35"/>
              <w:rPr>
                <w:sz w:val="20"/>
              </w:rPr>
            </w:pPr>
            <w:r>
              <w:rPr>
                <w:sz w:val="20"/>
              </w:rPr>
              <w:t>&gt; 1,000 gal/day per billing period**</w:t>
            </w:r>
          </w:p>
        </w:tc>
      </w:tr>
    </w:tbl>
    <w:p>
      <w:pPr>
        <w:pStyle w:val="BodyText"/>
        <w:spacing w:before="79"/>
        <w:ind w:left="580"/>
      </w:pPr>
      <w:r>
        <w:rPr/>
        <w:t>* Or as practicable – See </w:t>
      </w:r>
      <w:hyperlink w:history="true" w:anchor="_bookmark44">
        <w:r>
          <w:rPr/>
          <w:t>Appendix A</w:t>
        </w:r>
      </w:hyperlink>
    </w:p>
    <w:p>
      <w:pPr>
        <w:pStyle w:val="BodyText"/>
        <w:spacing w:before="40"/>
        <w:ind w:left="580"/>
      </w:pPr>
      <w:r>
        <w:rPr/>
        <w:t>**Use consumption values from design calculations for facility or process</w:t>
      </w:r>
    </w:p>
    <w:p>
      <w:pPr>
        <w:spacing w:after="0"/>
        <w:sectPr>
          <w:pgSz w:w="12240" w:h="15840"/>
          <w:pgMar w:header="724" w:footer="1020" w:top="1220" w:bottom="1220" w:left="860" w:right="680"/>
        </w:sectPr>
      </w:pPr>
    </w:p>
    <w:p>
      <w:pPr>
        <w:pStyle w:val="BodyText"/>
        <w:spacing w:before="10"/>
        <w:rPr>
          <w:sz w:val="10"/>
        </w:rPr>
      </w:pPr>
    </w:p>
    <w:p>
      <w:pPr>
        <w:pStyle w:val="Heading2"/>
        <w:numPr>
          <w:ilvl w:val="1"/>
          <w:numId w:val="4"/>
        </w:numPr>
        <w:tabs>
          <w:tab w:pos="1156" w:val="left" w:leader="none"/>
          <w:tab w:pos="1157" w:val="left" w:leader="none"/>
        </w:tabs>
        <w:spacing w:line="240" w:lineRule="auto" w:before="91" w:after="0"/>
        <w:ind w:left="1156" w:right="0" w:hanging="576"/>
        <w:jc w:val="left"/>
      </w:pPr>
      <w:bookmarkStart w:name="_bookmark14" w:id="22"/>
      <w:bookmarkEnd w:id="22"/>
      <w:r>
        <w:rPr>
          <w:b w:val="0"/>
        </w:rPr>
      </w:r>
      <w:bookmarkStart w:name="_bookmark14" w:id="23"/>
      <w:bookmarkEnd w:id="23"/>
      <w:r>
        <w:rPr/>
        <w:t>Prioriti</w:t>
      </w:r>
      <w:r>
        <w:rPr/>
        <w:t>zation</w:t>
      </w:r>
    </w:p>
    <w:p>
      <w:pPr>
        <w:pStyle w:val="BodyText"/>
        <w:spacing w:line="276" w:lineRule="auto" w:before="120"/>
        <w:ind w:left="580" w:right="1014"/>
      </w:pPr>
      <w:r>
        <w:rPr/>
        <w:t>For the purpose of maximizing cost effectiveness, it is recommended that the installation of advanced energy (electricity, water, and natural gas) meters be prioritized using the hierarchy as follows per Federal Building Metering Guidance and Coast Guard Metering Plan:</w:t>
      </w:r>
    </w:p>
    <w:p>
      <w:pPr>
        <w:spacing w:before="116"/>
        <w:ind w:left="580" w:right="0" w:firstLine="0"/>
        <w:jc w:val="left"/>
        <w:rPr>
          <w:sz w:val="22"/>
        </w:rPr>
      </w:pPr>
      <w:r>
        <w:rPr>
          <w:b/>
          <w:sz w:val="22"/>
        </w:rPr>
        <w:t>Energy Metering (Electric and Natural Gas / Propane</w:t>
      </w:r>
      <w:r>
        <w:rPr>
          <w:sz w:val="22"/>
        </w:rPr>
        <w:t>)</w:t>
      </w:r>
    </w:p>
    <w:p>
      <w:pPr>
        <w:pStyle w:val="ListParagraph"/>
        <w:numPr>
          <w:ilvl w:val="2"/>
          <w:numId w:val="4"/>
        </w:numPr>
        <w:tabs>
          <w:tab w:pos="1301" w:val="left" w:leader="none"/>
        </w:tabs>
        <w:spacing w:line="240" w:lineRule="auto" w:before="160" w:after="0"/>
        <w:ind w:left="1300" w:right="0" w:hanging="360"/>
        <w:jc w:val="left"/>
        <w:rPr>
          <w:sz w:val="22"/>
        </w:rPr>
      </w:pPr>
      <w:r>
        <w:rPr>
          <w:sz w:val="22"/>
        </w:rPr>
        <w:t>New Construction and Major Renovations ($200K or</w:t>
      </w:r>
      <w:r>
        <w:rPr>
          <w:spacing w:val="-11"/>
          <w:sz w:val="22"/>
        </w:rPr>
        <w:t> </w:t>
      </w:r>
      <w:r>
        <w:rPr>
          <w:sz w:val="22"/>
        </w:rPr>
        <w:t>greater).</w:t>
      </w:r>
    </w:p>
    <w:p>
      <w:pPr>
        <w:pStyle w:val="ListParagraph"/>
        <w:numPr>
          <w:ilvl w:val="2"/>
          <w:numId w:val="4"/>
        </w:numPr>
        <w:tabs>
          <w:tab w:pos="1301" w:val="left" w:leader="none"/>
        </w:tabs>
        <w:spacing w:line="240" w:lineRule="auto" w:before="1" w:after="0"/>
        <w:ind w:left="1300" w:right="969" w:hanging="360"/>
        <w:jc w:val="left"/>
        <w:rPr>
          <w:sz w:val="22"/>
        </w:rPr>
      </w:pPr>
      <w:r>
        <w:rPr>
          <w:sz w:val="22"/>
        </w:rPr>
        <w:t>Inclusion on the Energy Independence and Security Act (EISA) Audit Covered facilities list.</w:t>
      </w:r>
    </w:p>
    <w:p>
      <w:pPr>
        <w:pStyle w:val="ListParagraph"/>
        <w:numPr>
          <w:ilvl w:val="2"/>
          <w:numId w:val="4"/>
        </w:numPr>
        <w:tabs>
          <w:tab w:pos="1301" w:val="left" w:leader="none"/>
        </w:tabs>
        <w:spacing w:line="252" w:lineRule="exact" w:before="1" w:after="0"/>
        <w:ind w:left="1300" w:right="0" w:hanging="360"/>
        <w:jc w:val="left"/>
        <w:rPr>
          <w:sz w:val="22"/>
        </w:rPr>
      </w:pPr>
      <w:r>
        <w:rPr>
          <w:sz w:val="22"/>
        </w:rPr>
        <w:t>Shore</w:t>
      </w:r>
      <w:r>
        <w:rPr>
          <w:spacing w:val="-2"/>
          <w:sz w:val="22"/>
        </w:rPr>
        <w:t> </w:t>
      </w:r>
      <w:r>
        <w:rPr>
          <w:sz w:val="22"/>
        </w:rPr>
        <w:t>Ties.</w:t>
      </w:r>
    </w:p>
    <w:p>
      <w:pPr>
        <w:pStyle w:val="ListParagraph"/>
        <w:numPr>
          <w:ilvl w:val="2"/>
          <w:numId w:val="4"/>
        </w:numPr>
        <w:tabs>
          <w:tab w:pos="1301" w:val="left" w:leader="none"/>
        </w:tabs>
        <w:spacing w:line="252" w:lineRule="exact" w:before="0" w:after="0"/>
        <w:ind w:left="1300" w:right="0" w:hanging="360"/>
        <w:jc w:val="left"/>
        <w:rPr>
          <w:sz w:val="22"/>
        </w:rPr>
      </w:pPr>
      <w:r>
        <w:rPr>
          <w:sz w:val="22"/>
        </w:rPr>
        <w:t>Buildings that have been targeted with ESPC or UESC / resource conservation</w:t>
      </w:r>
      <w:r>
        <w:rPr>
          <w:spacing w:val="-10"/>
          <w:sz w:val="22"/>
        </w:rPr>
        <w:t> </w:t>
      </w:r>
      <w:r>
        <w:rPr>
          <w:sz w:val="22"/>
        </w:rPr>
        <w:t>projects.</w:t>
      </w:r>
    </w:p>
    <w:p>
      <w:pPr>
        <w:pStyle w:val="ListParagraph"/>
        <w:numPr>
          <w:ilvl w:val="2"/>
          <w:numId w:val="4"/>
        </w:numPr>
        <w:tabs>
          <w:tab w:pos="1301" w:val="left" w:leader="none"/>
        </w:tabs>
        <w:spacing w:line="252" w:lineRule="exact" w:before="0" w:after="0"/>
        <w:ind w:left="1300" w:right="0" w:hanging="360"/>
        <w:jc w:val="left"/>
        <w:rPr>
          <w:sz w:val="22"/>
        </w:rPr>
      </w:pPr>
      <w:r>
        <w:rPr>
          <w:sz w:val="22"/>
        </w:rPr>
        <w:t>All agency data centers not planned for consolidation or</w:t>
      </w:r>
      <w:r>
        <w:rPr>
          <w:spacing w:val="-10"/>
          <w:sz w:val="22"/>
        </w:rPr>
        <w:t> </w:t>
      </w:r>
      <w:r>
        <w:rPr>
          <w:sz w:val="22"/>
        </w:rPr>
        <w:t>closure.</w:t>
      </w:r>
    </w:p>
    <w:p>
      <w:pPr>
        <w:pStyle w:val="ListParagraph"/>
        <w:numPr>
          <w:ilvl w:val="2"/>
          <w:numId w:val="4"/>
        </w:numPr>
        <w:tabs>
          <w:tab w:pos="1301" w:val="left" w:leader="none"/>
        </w:tabs>
        <w:spacing w:line="240" w:lineRule="auto" w:before="1" w:after="0"/>
        <w:ind w:left="1300" w:right="1263" w:hanging="360"/>
        <w:jc w:val="left"/>
        <w:rPr>
          <w:sz w:val="22"/>
        </w:rPr>
      </w:pPr>
      <w:r>
        <w:rPr>
          <w:sz w:val="22"/>
        </w:rPr>
        <w:t>All other known energy-intensive building types (e.g., laboratories, hospitals, control towers, and food</w:t>
      </w:r>
      <w:r>
        <w:rPr>
          <w:spacing w:val="-4"/>
          <w:sz w:val="22"/>
        </w:rPr>
        <w:t> </w:t>
      </w:r>
      <w:r>
        <w:rPr>
          <w:sz w:val="22"/>
        </w:rPr>
        <w:t>services).</w:t>
      </w:r>
    </w:p>
    <w:p>
      <w:pPr>
        <w:pStyle w:val="ListParagraph"/>
        <w:numPr>
          <w:ilvl w:val="2"/>
          <w:numId w:val="4"/>
        </w:numPr>
        <w:tabs>
          <w:tab w:pos="1301" w:val="left" w:leader="none"/>
        </w:tabs>
        <w:spacing w:line="252" w:lineRule="exact" w:before="1" w:after="0"/>
        <w:ind w:left="1300" w:right="0" w:hanging="360"/>
        <w:jc w:val="left"/>
        <w:rPr>
          <w:sz w:val="22"/>
        </w:rPr>
      </w:pPr>
      <w:r>
        <w:rPr>
          <w:sz w:val="22"/>
        </w:rPr>
        <w:t>All individual buildings 10,000 square feet or</w:t>
      </w:r>
      <w:r>
        <w:rPr>
          <w:spacing w:val="-5"/>
          <w:sz w:val="22"/>
        </w:rPr>
        <w:t> </w:t>
      </w:r>
      <w:r>
        <w:rPr>
          <w:sz w:val="22"/>
        </w:rPr>
        <w:t>above.</w:t>
      </w:r>
    </w:p>
    <w:p>
      <w:pPr>
        <w:pStyle w:val="ListParagraph"/>
        <w:numPr>
          <w:ilvl w:val="2"/>
          <w:numId w:val="4"/>
        </w:numPr>
        <w:tabs>
          <w:tab w:pos="1301" w:val="left" w:leader="none"/>
        </w:tabs>
        <w:spacing w:line="240" w:lineRule="auto" w:before="0" w:after="0"/>
        <w:ind w:left="1300" w:right="1336" w:hanging="360"/>
        <w:jc w:val="left"/>
        <w:rPr>
          <w:sz w:val="22"/>
        </w:rPr>
      </w:pPr>
      <w:r>
        <w:rPr>
          <w:sz w:val="22"/>
        </w:rPr>
        <w:t>All large energy-consuming mission support processes (training systems, industrial systems, communication transmitters, ship cold iron services,</w:t>
      </w:r>
      <w:r>
        <w:rPr>
          <w:spacing w:val="-2"/>
          <w:sz w:val="22"/>
        </w:rPr>
        <w:t> </w:t>
      </w:r>
      <w:r>
        <w:rPr>
          <w:sz w:val="22"/>
        </w:rPr>
        <w:t>etc.).</w:t>
      </w:r>
    </w:p>
    <w:p>
      <w:pPr>
        <w:pStyle w:val="ListParagraph"/>
        <w:numPr>
          <w:ilvl w:val="2"/>
          <w:numId w:val="4"/>
        </w:numPr>
        <w:tabs>
          <w:tab w:pos="1301" w:val="left" w:leader="none"/>
        </w:tabs>
        <w:spacing w:line="252" w:lineRule="exact" w:before="0" w:after="0"/>
        <w:ind w:left="1300" w:right="0" w:hanging="360"/>
        <w:jc w:val="left"/>
        <w:rPr>
          <w:sz w:val="22"/>
        </w:rPr>
      </w:pPr>
      <w:r>
        <w:rPr>
          <w:sz w:val="22"/>
        </w:rPr>
        <w:t>All High Performance and Sustainable Buildings, if not already captured</w:t>
      </w:r>
      <w:r>
        <w:rPr>
          <w:spacing w:val="-8"/>
          <w:sz w:val="22"/>
        </w:rPr>
        <w:t> </w:t>
      </w:r>
      <w:r>
        <w:rPr>
          <w:sz w:val="22"/>
        </w:rPr>
        <w:t>above.</w:t>
      </w:r>
    </w:p>
    <w:p>
      <w:pPr>
        <w:pStyle w:val="ListParagraph"/>
        <w:numPr>
          <w:ilvl w:val="2"/>
          <w:numId w:val="4"/>
        </w:numPr>
        <w:tabs>
          <w:tab w:pos="1301" w:val="left" w:leader="none"/>
        </w:tabs>
        <w:spacing w:line="252" w:lineRule="exact" w:before="0" w:after="0"/>
        <w:ind w:left="1300" w:right="0" w:hanging="360"/>
        <w:jc w:val="left"/>
        <w:rPr>
          <w:sz w:val="22"/>
        </w:rPr>
      </w:pPr>
      <w:r>
        <w:rPr>
          <w:sz w:val="22"/>
        </w:rPr>
        <w:t>Remainder of “appropriate” buildings, largest first - 5,000 square feet or</w:t>
      </w:r>
      <w:r>
        <w:rPr>
          <w:spacing w:val="-9"/>
          <w:sz w:val="22"/>
        </w:rPr>
        <w:t> </w:t>
      </w:r>
      <w:r>
        <w:rPr>
          <w:sz w:val="22"/>
        </w:rPr>
        <w:t>above.</w:t>
      </w:r>
    </w:p>
    <w:p>
      <w:pPr>
        <w:spacing w:before="119"/>
        <w:ind w:left="580" w:right="0" w:firstLine="0"/>
        <w:jc w:val="left"/>
        <w:rPr>
          <w:b/>
          <w:sz w:val="22"/>
        </w:rPr>
      </w:pPr>
      <w:r>
        <w:rPr>
          <w:b/>
          <w:sz w:val="22"/>
        </w:rPr>
        <w:t>Water Metering</w:t>
      </w:r>
    </w:p>
    <w:p>
      <w:pPr>
        <w:pStyle w:val="ListParagraph"/>
        <w:numPr>
          <w:ilvl w:val="0"/>
          <w:numId w:val="5"/>
        </w:numPr>
        <w:tabs>
          <w:tab w:pos="1301" w:val="left" w:leader="none"/>
        </w:tabs>
        <w:spacing w:line="252" w:lineRule="exact" w:before="160" w:after="0"/>
        <w:ind w:left="1300" w:right="0" w:hanging="360"/>
        <w:jc w:val="left"/>
        <w:rPr>
          <w:sz w:val="22"/>
        </w:rPr>
      </w:pPr>
      <w:r>
        <w:rPr>
          <w:sz w:val="22"/>
        </w:rPr>
        <w:t>New Constructions and Major Renovations ($200K or</w:t>
      </w:r>
      <w:r>
        <w:rPr>
          <w:spacing w:val="-7"/>
          <w:sz w:val="22"/>
        </w:rPr>
        <w:t> </w:t>
      </w:r>
      <w:r>
        <w:rPr>
          <w:sz w:val="22"/>
        </w:rPr>
        <w:t>greater).</w:t>
      </w:r>
    </w:p>
    <w:p>
      <w:pPr>
        <w:pStyle w:val="ListParagraph"/>
        <w:numPr>
          <w:ilvl w:val="0"/>
          <w:numId w:val="5"/>
        </w:numPr>
        <w:tabs>
          <w:tab w:pos="1301" w:val="left" w:leader="none"/>
        </w:tabs>
        <w:spacing w:line="252" w:lineRule="exact" w:before="0" w:after="0"/>
        <w:ind w:left="1300" w:right="0" w:hanging="360"/>
        <w:jc w:val="left"/>
        <w:rPr>
          <w:sz w:val="22"/>
        </w:rPr>
      </w:pPr>
      <w:r>
        <w:rPr>
          <w:sz w:val="22"/>
        </w:rPr>
        <w:t>Covered facilities that are known to be the largest water</w:t>
      </w:r>
      <w:r>
        <w:rPr>
          <w:spacing w:val="-5"/>
          <w:sz w:val="22"/>
        </w:rPr>
        <w:t> </w:t>
      </w:r>
      <w:r>
        <w:rPr>
          <w:sz w:val="22"/>
        </w:rPr>
        <w:t>consumers.</w:t>
      </w:r>
    </w:p>
    <w:p>
      <w:pPr>
        <w:pStyle w:val="ListParagraph"/>
        <w:numPr>
          <w:ilvl w:val="0"/>
          <w:numId w:val="5"/>
        </w:numPr>
        <w:tabs>
          <w:tab w:pos="1301" w:val="left" w:leader="none"/>
        </w:tabs>
        <w:spacing w:line="252" w:lineRule="exact" w:before="1" w:after="0"/>
        <w:ind w:left="1300" w:right="0" w:hanging="360"/>
        <w:jc w:val="left"/>
        <w:rPr>
          <w:sz w:val="22"/>
        </w:rPr>
      </w:pPr>
      <w:r>
        <w:rPr>
          <w:sz w:val="22"/>
        </w:rPr>
        <w:t>Shore</w:t>
      </w:r>
      <w:r>
        <w:rPr>
          <w:spacing w:val="-2"/>
          <w:sz w:val="22"/>
        </w:rPr>
        <w:t> </w:t>
      </w:r>
      <w:r>
        <w:rPr>
          <w:sz w:val="22"/>
        </w:rPr>
        <w:t>Ties.</w:t>
      </w:r>
    </w:p>
    <w:p>
      <w:pPr>
        <w:pStyle w:val="ListParagraph"/>
        <w:numPr>
          <w:ilvl w:val="0"/>
          <w:numId w:val="5"/>
        </w:numPr>
        <w:tabs>
          <w:tab w:pos="1301" w:val="left" w:leader="none"/>
        </w:tabs>
        <w:spacing w:line="252" w:lineRule="exact" w:before="0" w:after="0"/>
        <w:ind w:left="1300" w:right="0" w:hanging="360"/>
        <w:jc w:val="left"/>
        <w:rPr>
          <w:sz w:val="22"/>
        </w:rPr>
      </w:pPr>
      <w:r>
        <w:rPr>
          <w:sz w:val="22"/>
        </w:rPr>
        <w:t>Buildings that have been targeted with resource conservation</w:t>
      </w:r>
      <w:r>
        <w:rPr>
          <w:spacing w:val="-4"/>
          <w:sz w:val="22"/>
        </w:rPr>
        <w:t> </w:t>
      </w:r>
      <w:r>
        <w:rPr>
          <w:sz w:val="22"/>
        </w:rPr>
        <w:t>projects.</w:t>
      </w:r>
    </w:p>
    <w:p>
      <w:pPr>
        <w:pStyle w:val="ListParagraph"/>
        <w:numPr>
          <w:ilvl w:val="0"/>
          <w:numId w:val="5"/>
        </w:numPr>
        <w:tabs>
          <w:tab w:pos="1301" w:val="left" w:leader="none"/>
        </w:tabs>
        <w:spacing w:line="253" w:lineRule="exact" w:before="2" w:after="0"/>
        <w:ind w:left="1300" w:right="0" w:hanging="360"/>
        <w:jc w:val="left"/>
        <w:rPr>
          <w:sz w:val="22"/>
        </w:rPr>
      </w:pPr>
      <w:r>
        <w:rPr>
          <w:sz w:val="22"/>
        </w:rPr>
        <w:t>All well water and other internal supply lines to the installation (campus).</w:t>
      </w:r>
    </w:p>
    <w:p>
      <w:pPr>
        <w:pStyle w:val="ListParagraph"/>
        <w:numPr>
          <w:ilvl w:val="0"/>
          <w:numId w:val="5"/>
        </w:numPr>
        <w:tabs>
          <w:tab w:pos="1301" w:val="left" w:leader="none"/>
        </w:tabs>
        <w:spacing w:line="240" w:lineRule="auto" w:before="0" w:after="0"/>
        <w:ind w:left="1300" w:right="1488" w:hanging="360"/>
        <w:jc w:val="left"/>
        <w:rPr>
          <w:sz w:val="22"/>
        </w:rPr>
      </w:pPr>
      <w:r>
        <w:rPr>
          <w:sz w:val="22"/>
        </w:rPr>
        <w:t>Sufficient meters or other leak detection devices on distribution lines to</w:t>
      </w:r>
      <w:r>
        <w:rPr>
          <w:spacing w:val="-31"/>
          <w:sz w:val="22"/>
        </w:rPr>
        <w:t> </w:t>
      </w:r>
      <w:r>
        <w:rPr>
          <w:sz w:val="22"/>
        </w:rPr>
        <w:t>effectively identify system losses. Prioritize the largest distribution lines</w:t>
      </w:r>
      <w:r>
        <w:rPr>
          <w:spacing w:val="-6"/>
          <w:sz w:val="22"/>
        </w:rPr>
        <w:t> </w:t>
      </w:r>
      <w:r>
        <w:rPr>
          <w:sz w:val="22"/>
        </w:rPr>
        <w:t>first.</w:t>
      </w:r>
    </w:p>
    <w:p>
      <w:pPr>
        <w:pStyle w:val="ListParagraph"/>
        <w:numPr>
          <w:ilvl w:val="0"/>
          <w:numId w:val="5"/>
        </w:numPr>
        <w:tabs>
          <w:tab w:pos="1301" w:val="left" w:leader="none"/>
        </w:tabs>
        <w:spacing w:line="240" w:lineRule="auto" w:before="0" w:after="0"/>
        <w:ind w:left="1300" w:right="930" w:hanging="360"/>
        <w:jc w:val="left"/>
        <w:rPr>
          <w:sz w:val="22"/>
        </w:rPr>
      </w:pPr>
      <w:r>
        <w:rPr>
          <w:sz w:val="22"/>
        </w:rPr>
        <w:t>All water-intensive facilities including chiller plants, barracks, galleys/kitchens, dining facilities, swimming pools, gyms, golf courses, piers, dry docks, vehicle wash stations, industrial facilities, hospitals, prisons, water-intensive laboratories, and large landscape systems.</w:t>
      </w:r>
    </w:p>
    <w:p>
      <w:pPr>
        <w:pStyle w:val="ListParagraph"/>
        <w:numPr>
          <w:ilvl w:val="0"/>
          <w:numId w:val="5"/>
        </w:numPr>
        <w:tabs>
          <w:tab w:pos="1301" w:val="left" w:leader="none"/>
        </w:tabs>
        <w:spacing w:line="251" w:lineRule="exact" w:before="0" w:after="0"/>
        <w:ind w:left="1300" w:right="0" w:hanging="360"/>
        <w:jc w:val="left"/>
        <w:rPr>
          <w:sz w:val="22"/>
        </w:rPr>
      </w:pPr>
      <w:r>
        <w:rPr>
          <w:sz w:val="22"/>
        </w:rPr>
        <w:t>All large individual building – 10,000 square feet or</w:t>
      </w:r>
      <w:r>
        <w:rPr>
          <w:spacing w:val="-5"/>
          <w:sz w:val="22"/>
        </w:rPr>
        <w:t> </w:t>
      </w:r>
      <w:r>
        <w:rPr>
          <w:sz w:val="22"/>
        </w:rPr>
        <w:t>above.</w:t>
      </w:r>
    </w:p>
    <w:p>
      <w:pPr>
        <w:pStyle w:val="ListParagraph"/>
        <w:numPr>
          <w:ilvl w:val="0"/>
          <w:numId w:val="5"/>
        </w:numPr>
        <w:tabs>
          <w:tab w:pos="1301" w:val="left" w:leader="none"/>
        </w:tabs>
        <w:spacing w:line="252" w:lineRule="exact" w:before="1" w:after="0"/>
        <w:ind w:left="1300" w:right="0" w:hanging="360"/>
        <w:jc w:val="left"/>
        <w:rPr>
          <w:sz w:val="22"/>
        </w:rPr>
      </w:pPr>
      <w:r>
        <w:rPr>
          <w:sz w:val="22"/>
        </w:rPr>
        <w:t>All High Performance and Sustainable Buildings, if not already captured</w:t>
      </w:r>
      <w:r>
        <w:rPr>
          <w:spacing w:val="-7"/>
          <w:sz w:val="22"/>
        </w:rPr>
        <w:t> </w:t>
      </w:r>
      <w:r>
        <w:rPr>
          <w:sz w:val="22"/>
        </w:rPr>
        <w:t>above.</w:t>
      </w:r>
    </w:p>
    <w:p>
      <w:pPr>
        <w:pStyle w:val="ListParagraph"/>
        <w:numPr>
          <w:ilvl w:val="0"/>
          <w:numId w:val="5"/>
        </w:numPr>
        <w:tabs>
          <w:tab w:pos="1301" w:val="left" w:leader="none"/>
        </w:tabs>
        <w:spacing w:line="252" w:lineRule="exact" w:before="0" w:after="0"/>
        <w:ind w:left="1300" w:right="0" w:hanging="360"/>
        <w:jc w:val="left"/>
        <w:rPr>
          <w:sz w:val="22"/>
        </w:rPr>
      </w:pPr>
      <w:r>
        <w:rPr>
          <w:sz w:val="22"/>
        </w:rPr>
        <w:t>Remainder of “appropriate” buildings, largest first - 5,000 square feet or</w:t>
      </w:r>
      <w:r>
        <w:rPr>
          <w:spacing w:val="-11"/>
          <w:sz w:val="22"/>
        </w:rPr>
        <w:t> </w:t>
      </w:r>
      <w:r>
        <w:rPr>
          <w:sz w:val="22"/>
        </w:rPr>
        <w:t>above.</w:t>
      </w:r>
    </w:p>
    <w:p>
      <w:pPr>
        <w:spacing w:after="0" w:line="252" w:lineRule="exact"/>
        <w:jc w:val="left"/>
        <w:rPr>
          <w:sz w:val="22"/>
        </w:rPr>
        <w:sectPr>
          <w:pgSz w:w="12240" w:h="15840"/>
          <w:pgMar w:header="724" w:footer="1020" w:top="1220" w:bottom="1220" w:left="860" w:right="680"/>
        </w:sectPr>
      </w:pPr>
    </w:p>
    <w:p>
      <w:pPr>
        <w:pStyle w:val="BodyText"/>
        <w:spacing w:before="10"/>
        <w:rPr>
          <w:sz w:val="18"/>
        </w:rPr>
      </w:pP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Heading1"/>
        <w:numPr>
          <w:ilvl w:val="0"/>
          <w:numId w:val="4"/>
        </w:numPr>
        <w:tabs>
          <w:tab w:pos="1012" w:val="left" w:leader="none"/>
          <w:tab w:pos="1013" w:val="left" w:leader="none"/>
        </w:tabs>
        <w:spacing w:line="240" w:lineRule="auto" w:before="8" w:after="22"/>
        <w:ind w:left="1012" w:right="0" w:hanging="432"/>
        <w:jc w:val="left"/>
      </w:pPr>
      <w:bookmarkStart w:name="_bookmark15" w:id="24"/>
      <w:bookmarkEnd w:id="24"/>
      <w:r>
        <w:rPr>
          <w:b w:val="0"/>
        </w:rPr>
      </w:r>
      <w:bookmarkStart w:name="_bookmark15" w:id="25"/>
      <w:bookmarkEnd w:id="25"/>
      <w:r>
        <w:rPr/>
        <w:t>T</w:t>
      </w:r>
      <w:r>
        <w:rPr/>
        <w:t>ECHNICAL REQUIREMENTS</w:t>
      </w: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Heading2"/>
        <w:numPr>
          <w:ilvl w:val="1"/>
          <w:numId w:val="4"/>
        </w:numPr>
        <w:tabs>
          <w:tab w:pos="1156" w:val="left" w:leader="none"/>
          <w:tab w:pos="1157" w:val="left" w:leader="none"/>
        </w:tabs>
        <w:spacing w:line="240" w:lineRule="auto" w:before="228" w:after="0"/>
        <w:ind w:left="1156" w:right="0" w:hanging="576"/>
        <w:jc w:val="left"/>
      </w:pPr>
      <w:bookmarkStart w:name="_bookmark16" w:id="26"/>
      <w:bookmarkEnd w:id="26"/>
      <w:r>
        <w:rPr>
          <w:b w:val="0"/>
        </w:rPr>
      </w:r>
      <w:bookmarkStart w:name="_bookmark16" w:id="27"/>
      <w:bookmarkEnd w:id="27"/>
      <w:r>
        <w:rPr/>
        <w:t>Organi</w:t>
      </w:r>
      <w:r>
        <w:rPr/>
        <w:t>zation</w:t>
      </w:r>
    </w:p>
    <w:p>
      <w:pPr>
        <w:pStyle w:val="BodyText"/>
        <w:spacing w:line="276" w:lineRule="auto" w:before="120"/>
        <w:ind w:left="580" w:right="756"/>
      </w:pPr>
      <w:r>
        <w:rPr/>
        <w:t>The technical requirements section delineates the equipment and software considerations of the Advanced Metering Initiative for utilities. Section </w:t>
      </w:r>
      <w:hyperlink w:history="true" w:anchor="_bookmark17">
        <w:r>
          <w:rPr/>
          <w:t>3.2</w:t>
        </w:r>
      </w:hyperlink>
      <w:r>
        <w:rPr/>
        <w:t>-Equipment Requirements, describes the functional standards when implementing a Utility Advanced Metering System. This section is subdivided by type of utility to be metered and system elements that are common across utility types. Section </w:t>
      </w:r>
      <w:hyperlink w:history="true" w:anchor="_bookmark25">
        <w:r>
          <w:rPr/>
          <w:t>3.3</w:t>
        </w:r>
      </w:hyperlink>
      <w:r>
        <w:rPr/>
        <w:t>- Data Communication and Configuration, describes the standard data elements required to support an Energy Data Management System (EDMS) software tool.</w:t>
      </w:r>
    </w:p>
    <w:p>
      <w:pPr>
        <w:pStyle w:val="BodyText"/>
        <w:spacing w:before="119"/>
        <w:ind w:left="580"/>
      </w:pPr>
      <w:hyperlink w:history="true" w:anchor="_bookmark28">
        <w:r>
          <w:rPr/>
          <w:t>Figure 3 </w:t>
        </w:r>
      </w:hyperlink>
      <w:r>
        <w:rPr/>
        <w:t>illustrates the Typical Advanced Metering System Diagram for the USCG.</w:t>
      </w:r>
    </w:p>
    <w:p>
      <w:pPr>
        <w:pStyle w:val="BodyText"/>
        <w:spacing w:before="3"/>
        <w:rPr>
          <w:sz w:val="24"/>
        </w:rPr>
      </w:pPr>
    </w:p>
    <w:p>
      <w:pPr>
        <w:pStyle w:val="Heading2"/>
        <w:numPr>
          <w:ilvl w:val="1"/>
          <w:numId w:val="4"/>
        </w:numPr>
        <w:tabs>
          <w:tab w:pos="1156" w:val="left" w:leader="none"/>
          <w:tab w:pos="1157" w:val="left" w:leader="none"/>
        </w:tabs>
        <w:spacing w:line="240" w:lineRule="auto" w:before="0" w:after="0"/>
        <w:ind w:left="1156" w:right="0" w:hanging="576"/>
        <w:jc w:val="left"/>
      </w:pPr>
      <w:bookmarkStart w:name="_bookmark17" w:id="28"/>
      <w:bookmarkEnd w:id="28"/>
      <w:r>
        <w:rPr>
          <w:b w:val="0"/>
        </w:rPr>
      </w:r>
      <w:bookmarkStart w:name="_bookmark17" w:id="29"/>
      <w:bookmarkEnd w:id="29"/>
      <w:r>
        <w:rPr/>
        <w:t>Equipm</w:t>
      </w:r>
      <w:r>
        <w:rPr/>
        <w:t>ent</w:t>
      </w:r>
      <w:r>
        <w:rPr>
          <w:spacing w:val="-2"/>
        </w:rPr>
        <w:t> </w:t>
      </w:r>
      <w:r>
        <w:rPr/>
        <w:t>Requirements</w:t>
      </w:r>
    </w:p>
    <w:p>
      <w:pPr>
        <w:pStyle w:val="BodyText"/>
        <w:spacing w:line="276" w:lineRule="auto" w:before="120"/>
        <w:ind w:left="580" w:right="952"/>
      </w:pPr>
      <w:r>
        <w:rPr/>
        <w:t>The specific requirements for gathering consumption data from discrete sources (electrical panels, buildings, vessel shore ties, pipes, etc.) are unique among utilities and will be detailed for each utility type in Sections </w:t>
      </w:r>
      <w:hyperlink w:history="true" w:anchor="_bookmark18">
        <w:r>
          <w:rPr/>
          <w:t>3.2.1</w:t>
        </w:r>
      </w:hyperlink>
      <w:r>
        <w:rPr/>
        <w:t>through </w:t>
      </w:r>
      <w:hyperlink w:history="true" w:anchor="_bookmark21">
        <w:r>
          <w:rPr/>
          <w:t>3.2.4</w:t>
        </w:r>
      </w:hyperlink>
      <w:r>
        <w:rPr/>
        <w:t>. The transceivers that collect the source metered data and the data acquisition servers through which the metered data is routed are common across utilities type and will be detailed in Section </w:t>
      </w:r>
      <w:hyperlink w:history="true" w:anchor="_bookmark24">
        <w:r>
          <w:rPr/>
          <w:t>3.2.6</w:t>
        </w:r>
      </w:hyperlink>
      <w:r>
        <w:rPr/>
        <w:t> and Section </w:t>
      </w:r>
      <w:hyperlink w:history="true" w:anchor="_bookmark26">
        <w:r>
          <w:rPr/>
          <w:t>3.3 </w:t>
        </w:r>
      </w:hyperlink>
      <w:r>
        <w:rPr/>
        <w:t>respectively.</w:t>
      </w:r>
    </w:p>
    <w:p>
      <w:pPr>
        <w:pStyle w:val="BodyText"/>
        <w:spacing w:before="8"/>
        <w:rPr>
          <w:sz w:val="20"/>
        </w:rPr>
      </w:pPr>
    </w:p>
    <w:p>
      <w:pPr>
        <w:pStyle w:val="Heading3"/>
        <w:numPr>
          <w:ilvl w:val="2"/>
          <w:numId w:val="6"/>
        </w:numPr>
        <w:tabs>
          <w:tab w:pos="1300" w:val="left" w:leader="none"/>
          <w:tab w:pos="1301" w:val="left" w:leader="none"/>
        </w:tabs>
        <w:spacing w:line="240" w:lineRule="auto" w:before="0" w:after="0"/>
        <w:ind w:left="1300" w:right="0" w:hanging="720"/>
        <w:jc w:val="left"/>
      </w:pPr>
      <w:bookmarkStart w:name="_bookmark18" w:id="30"/>
      <w:bookmarkEnd w:id="30"/>
      <w:r>
        <w:rPr>
          <w:b w:val="0"/>
        </w:rPr>
      </w:r>
      <w:bookmarkStart w:name="_bookmark18" w:id="31"/>
      <w:bookmarkEnd w:id="31"/>
      <w:r>
        <w:rPr/>
        <w:t>G</w:t>
      </w:r>
      <w:r>
        <w:rPr/>
        <w:t>eneral</w:t>
      </w:r>
      <w:r>
        <w:rPr>
          <w:spacing w:val="1"/>
        </w:rPr>
        <w:t> </w:t>
      </w:r>
      <w:r>
        <w:rPr/>
        <w:t>Requirements</w:t>
      </w:r>
    </w:p>
    <w:p>
      <w:pPr>
        <w:pStyle w:val="BodyText"/>
        <w:spacing w:line="278" w:lineRule="auto" w:before="121"/>
        <w:ind w:left="580"/>
      </w:pPr>
      <w:r>
        <w:rPr/>
        <w:t>Meters installed shall be compatible with DAS. As of 2017 the DAS’s in place are Model A8812, manufactured by Obvius, LLC.</w:t>
      </w:r>
    </w:p>
    <w:p>
      <w:pPr>
        <w:pStyle w:val="BodyText"/>
        <w:spacing w:before="4"/>
        <w:rPr>
          <w:sz w:val="20"/>
        </w:rPr>
      </w:pPr>
    </w:p>
    <w:p>
      <w:pPr>
        <w:pStyle w:val="Heading3"/>
        <w:numPr>
          <w:ilvl w:val="2"/>
          <w:numId w:val="6"/>
        </w:numPr>
        <w:tabs>
          <w:tab w:pos="1300" w:val="left" w:leader="none"/>
          <w:tab w:pos="1301" w:val="left" w:leader="none"/>
        </w:tabs>
        <w:spacing w:line="240" w:lineRule="auto" w:before="0" w:after="0"/>
        <w:ind w:left="1300" w:right="0" w:hanging="720"/>
        <w:jc w:val="left"/>
      </w:pPr>
      <w:bookmarkStart w:name="_bookmark19" w:id="32"/>
      <w:bookmarkEnd w:id="32"/>
      <w:r>
        <w:rPr>
          <w:b w:val="0"/>
        </w:rPr>
      </w:r>
      <w:bookmarkStart w:name="_bookmark19" w:id="33"/>
      <w:bookmarkEnd w:id="33"/>
      <w:r>
        <w:rPr/>
        <w:t>E</w:t>
      </w:r>
      <w:r>
        <w:rPr/>
        <w:t>lectrical</w:t>
      </w:r>
      <w:r>
        <w:rPr>
          <w:spacing w:val="-2"/>
        </w:rPr>
        <w:t> </w:t>
      </w:r>
      <w:r>
        <w:rPr/>
        <w:t>Meters</w:t>
      </w:r>
    </w:p>
    <w:p>
      <w:pPr>
        <w:pStyle w:val="BodyText"/>
        <w:rPr>
          <w:b/>
          <w:sz w:val="21"/>
        </w:rPr>
      </w:pPr>
    </w:p>
    <w:p>
      <w:pPr>
        <w:pStyle w:val="Heading4"/>
        <w:numPr>
          <w:ilvl w:val="3"/>
          <w:numId w:val="6"/>
        </w:numPr>
        <w:tabs>
          <w:tab w:pos="1445" w:val="left" w:leader="none"/>
        </w:tabs>
        <w:spacing w:line="240" w:lineRule="auto" w:before="1" w:after="0"/>
        <w:ind w:left="580" w:right="0" w:firstLine="0"/>
        <w:jc w:val="left"/>
        <w:rPr>
          <w:i/>
        </w:rPr>
      </w:pPr>
      <w:r>
        <w:rPr>
          <w:i/>
        </w:rPr>
        <w:t>Introduction</w:t>
      </w:r>
    </w:p>
    <w:p>
      <w:pPr>
        <w:pStyle w:val="BodyText"/>
        <w:spacing w:line="276" w:lineRule="auto" w:before="121"/>
        <w:ind w:left="580" w:right="757"/>
      </w:pPr>
      <w:r>
        <w:rPr/>
        <w:t>This section discusses the most common electrical metering parameters, focusing on parameters that offer the greatest potential for energy and operational efficiency improvements in accordance with the Federal Energy Management Program. Advanced Metering consists of metering components and wireless technology that transmit time interval consumption data from discrete sources (electrical panels, buildings, vessel shore ties, etc.) to a networked solution for storage, monitoring, and analysis via an EDMS.</w:t>
      </w:r>
    </w:p>
    <w:p>
      <w:pPr>
        <w:pStyle w:val="BodyText"/>
        <w:spacing w:before="10"/>
        <w:rPr>
          <w:sz w:val="17"/>
        </w:rPr>
      </w:pPr>
    </w:p>
    <w:tbl>
      <w:tblPr>
        <w:tblW w:w="0" w:type="auto"/>
        <w:jc w:val="left"/>
        <w:tblInd w:w="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80"/>
        <w:gridCol w:w="8219"/>
      </w:tblGrid>
      <w:tr>
        <w:trPr>
          <w:trHeight w:val="1375" w:hRule="atLeast"/>
        </w:trPr>
        <w:tc>
          <w:tcPr>
            <w:tcW w:w="1180" w:type="dxa"/>
          </w:tcPr>
          <w:p>
            <w:pPr>
              <w:pStyle w:val="TableParagraph"/>
              <w:spacing w:before="1"/>
              <w:ind w:left="0"/>
              <w:rPr>
                <w:sz w:val="22"/>
              </w:rPr>
            </w:pPr>
          </w:p>
          <w:p>
            <w:pPr>
              <w:pStyle w:val="TableParagraph"/>
              <w:spacing w:before="0"/>
              <w:ind w:left="200"/>
              <w:rPr>
                <w:sz w:val="20"/>
              </w:rPr>
            </w:pPr>
            <w:r>
              <w:rPr>
                <w:sz w:val="20"/>
              </w:rPr>
              <w:drawing>
                <wp:inline distT="0" distB="0" distL="0" distR="0">
                  <wp:extent cx="550795" cy="490347"/>
                  <wp:effectExtent l="0" t="0" r="0" b="0"/>
                  <wp:docPr id="7" name="image27.png" descr=""/>
                  <wp:cNvGraphicFramePr>
                    <a:graphicFrameLocks noChangeAspect="1"/>
                  </wp:cNvGraphicFramePr>
                  <a:graphic>
                    <a:graphicData uri="http://schemas.openxmlformats.org/drawingml/2006/picture">
                      <pic:pic>
                        <pic:nvPicPr>
                          <pic:cNvPr id="8" name="image27.png"/>
                          <pic:cNvPicPr/>
                        </pic:nvPicPr>
                        <pic:blipFill>
                          <a:blip r:embed="rId36" cstate="print"/>
                          <a:stretch>
                            <a:fillRect/>
                          </a:stretch>
                        </pic:blipFill>
                        <pic:spPr>
                          <a:xfrm>
                            <a:off x="0" y="0"/>
                            <a:ext cx="550795" cy="490347"/>
                          </a:xfrm>
                          <a:prstGeom prst="rect">
                            <a:avLst/>
                          </a:prstGeom>
                        </pic:spPr>
                      </pic:pic>
                    </a:graphicData>
                  </a:graphic>
                </wp:inline>
              </w:drawing>
            </w:r>
            <w:r>
              <w:rPr>
                <w:sz w:val="20"/>
              </w:rPr>
            </w:r>
          </w:p>
        </w:tc>
        <w:tc>
          <w:tcPr>
            <w:tcW w:w="8219" w:type="dxa"/>
          </w:tcPr>
          <w:p>
            <w:pPr>
              <w:pStyle w:val="TableParagraph"/>
              <w:spacing w:before="0"/>
              <w:ind w:left="117" w:right="176"/>
              <w:rPr>
                <w:sz w:val="20"/>
              </w:rPr>
            </w:pPr>
            <w:r>
              <w:rPr>
                <w:b/>
                <w:sz w:val="20"/>
              </w:rPr>
              <w:t>WARNING</w:t>
            </w:r>
            <w:r>
              <w:rPr>
                <w:sz w:val="20"/>
              </w:rPr>
              <w:t>! Electricity metering can be a complicated and dangerous endeavor; the equipment and procedures discussed here should only be attempted per personnel rating and training in accordance with the Safety and Environmental Health Manual, COMDTINST M5100.47 (series), in compliance with the current edition of National Fire Protection Association (NFPA) 70: National Electrical Code (NEC), and any local or</w:t>
            </w:r>
          </w:p>
          <w:p>
            <w:pPr>
              <w:pStyle w:val="TableParagraph"/>
              <w:spacing w:line="210" w:lineRule="exact" w:before="0"/>
              <w:ind w:left="117"/>
              <w:rPr>
                <w:sz w:val="20"/>
              </w:rPr>
            </w:pPr>
            <w:r>
              <w:rPr>
                <w:sz w:val="20"/>
              </w:rPr>
              <w:t>agency-specific codes or requirements.</w:t>
            </w:r>
          </w:p>
        </w:tc>
      </w:tr>
    </w:tbl>
    <w:p>
      <w:pPr>
        <w:pStyle w:val="Heading4"/>
        <w:numPr>
          <w:ilvl w:val="3"/>
          <w:numId w:val="6"/>
        </w:numPr>
        <w:tabs>
          <w:tab w:pos="1445" w:val="left" w:leader="none"/>
        </w:tabs>
        <w:spacing w:line="490" w:lineRule="atLeast" w:before="52" w:after="0"/>
        <w:ind w:left="580" w:right="4994" w:firstLine="0"/>
        <w:jc w:val="left"/>
      </w:pPr>
      <w:r>
        <w:rPr>
          <w:i/>
        </w:rPr>
        <w:t>Electrical Meter Equipment Specification </w:t>
      </w:r>
      <w:r>
        <w:rPr/>
        <w:t>Standard Configuration</w:t>
      </w:r>
    </w:p>
    <w:p>
      <w:pPr>
        <w:pStyle w:val="ListParagraph"/>
        <w:numPr>
          <w:ilvl w:val="4"/>
          <w:numId w:val="6"/>
        </w:numPr>
        <w:tabs>
          <w:tab w:pos="1301" w:val="left" w:leader="none"/>
        </w:tabs>
        <w:spacing w:line="240" w:lineRule="auto" w:before="126" w:after="0"/>
        <w:ind w:left="1300" w:right="0" w:hanging="360"/>
        <w:jc w:val="left"/>
        <w:rPr>
          <w:sz w:val="22"/>
        </w:rPr>
      </w:pPr>
      <w:r>
        <w:rPr>
          <w:sz w:val="22"/>
        </w:rPr>
        <w:t>The power meter shall be capable of measuring the variables listed in Section</w:t>
      </w:r>
      <w:r>
        <w:rPr>
          <w:spacing w:val="-9"/>
          <w:sz w:val="22"/>
        </w:rPr>
        <w:t> </w:t>
      </w:r>
      <w:hyperlink w:history="true" w:anchor="_bookmark29">
        <w:r>
          <w:rPr>
            <w:sz w:val="22"/>
          </w:rPr>
          <w:t>3.3.2</w:t>
        </w:r>
      </w:hyperlink>
      <w:r>
        <w:rPr>
          <w:sz w:val="22"/>
        </w:rPr>
        <w:t>.</w:t>
      </w:r>
    </w:p>
    <w:p>
      <w:pPr>
        <w:pStyle w:val="ListParagraph"/>
        <w:numPr>
          <w:ilvl w:val="4"/>
          <w:numId w:val="6"/>
        </w:numPr>
        <w:tabs>
          <w:tab w:pos="1301" w:val="left" w:leader="none"/>
        </w:tabs>
        <w:spacing w:line="240" w:lineRule="auto" w:before="78" w:after="0"/>
        <w:ind w:left="1300" w:right="1604" w:hanging="360"/>
        <w:jc w:val="left"/>
        <w:rPr>
          <w:sz w:val="22"/>
        </w:rPr>
      </w:pPr>
      <w:r>
        <w:rPr>
          <w:sz w:val="22"/>
        </w:rPr>
        <w:t>The power meter shall be sized equal to or greater than the circuit’s Overcurrent Protection Device (OCPD), i.e., circuit</w:t>
      </w:r>
      <w:r>
        <w:rPr>
          <w:spacing w:val="5"/>
          <w:sz w:val="22"/>
        </w:rPr>
        <w:t> </w:t>
      </w:r>
      <w:r>
        <w:rPr>
          <w:sz w:val="22"/>
        </w:rPr>
        <w:t>breaker.</w:t>
      </w:r>
    </w:p>
    <w:p>
      <w:pPr>
        <w:spacing w:after="0" w:line="240" w:lineRule="auto"/>
        <w:jc w:val="left"/>
        <w:rPr>
          <w:sz w:val="22"/>
        </w:rPr>
        <w:sectPr>
          <w:pgSz w:w="12240" w:h="15840"/>
          <w:pgMar w:header="724" w:footer="1020" w:top="1220" w:bottom="1220" w:left="860" w:right="680"/>
        </w:sectPr>
      </w:pPr>
    </w:p>
    <w:p>
      <w:pPr>
        <w:pStyle w:val="BodyText"/>
        <w:spacing w:before="6"/>
        <w:rPr>
          <w:sz w:val="10"/>
        </w:rPr>
      </w:pPr>
    </w:p>
    <w:p>
      <w:pPr>
        <w:pStyle w:val="ListParagraph"/>
        <w:numPr>
          <w:ilvl w:val="4"/>
          <w:numId w:val="6"/>
        </w:numPr>
        <w:tabs>
          <w:tab w:pos="1301" w:val="left" w:leader="none"/>
        </w:tabs>
        <w:spacing w:line="240" w:lineRule="auto" w:before="94" w:after="0"/>
        <w:ind w:left="1300" w:right="1247" w:hanging="360"/>
        <w:jc w:val="left"/>
        <w:rPr>
          <w:sz w:val="22"/>
        </w:rPr>
      </w:pPr>
      <w:r>
        <w:rPr>
          <w:sz w:val="22"/>
        </w:rPr>
        <w:t>The power meter shall support capture of variables at the interval defined in Section </w:t>
      </w:r>
      <w:hyperlink w:history="true" w:anchor="_bookmark30">
        <w:r>
          <w:rPr>
            <w:sz w:val="22"/>
          </w:rPr>
          <w:t>3.3.3</w:t>
        </w:r>
      </w:hyperlink>
      <w:r>
        <w:rPr>
          <w:sz w:val="22"/>
        </w:rPr>
        <w:t>.</w:t>
      </w:r>
    </w:p>
    <w:p>
      <w:pPr>
        <w:pStyle w:val="ListParagraph"/>
        <w:numPr>
          <w:ilvl w:val="4"/>
          <w:numId w:val="6"/>
        </w:numPr>
        <w:tabs>
          <w:tab w:pos="1301" w:val="left" w:leader="none"/>
        </w:tabs>
        <w:spacing w:line="244" w:lineRule="auto" w:before="80" w:after="0"/>
        <w:ind w:left="1300" w:right="1605" w:hanging="360"/>
        <w:jc w:val="left"/>
        <w:rPr>
          <w:sz w:val="22"/>
        </w:rPr>
      </w:pPr>
      <w:r>
        <w:rPr>
          <w:sz w:val="22"/>
        </w:rPr>
        <w:t>The meter shall report serially over an RS-485 network using the Modbus (RTU) protocol.</w:t>
      </w:r>
    </w:p>
    <w:p>
      <w:pPr>
        <w:pStyle w:val="ListParagraph"/>
        <w:numPr>
          <w:ilvl w:val="4"/>
          <w:numId w:val="6"/>
        </w:numPr>
        <w:tabs>
          <w:tab w:pos="1301" w:val="left" w:leader="none"/>
        </w:tabs>
        <w:spacing w:line="240" w:lineRule="auto" w:before="69" w:after="0"/>
        <w:ind w:left="1300" w:right="849" w:hanging="360"/>
        <w:jc w:val="left"/>
        <w:rPr>
          <w:sz w:val="22"/>
        </w:rPr>
      </w:pPr>
      <w:r>
        <w:rPr>
          <w:sz w:val="22"/>
        </w:rPr>
        <w:t>The power meter shall consist of the required number of solid or split-core current transformers (CTs). Split core CTs shall be hinged at both axes with the power metering electronics embedded inside of the master</w:t>
      </w:r>
      <w:r>
        <w:rPr>
          <w:spacing w:val="-3"/>
          <w:sz w:val="22"/>
        </w:rPr>
        <w:t> </w:t>
      </w:r>
      <w:r>
        <w:rPr>
          <w:sz w:val="22"/>
        </w:rPr>
        <w:t>CT.</w:t>
      </w:r>
    </w:p>
    <w:p>
      <w:pPr>
        <w:pStyle w:val="ListParagraph"/>
        <w:numPr>
          <w:ilvl w:val="4"/>
          <w:numId w:val="6"/>
        </w:numPr>
        <w:tabs>
          <w:tab w:pos="1301" w:val="left" w:leader="none"/>
        </w:tabs>
        <w:spacing w:line="240" w:lineRule="auto" w:before="84" w:after="0"/>
        <w:ind w:left="1300" w:right="0" w:hanging="360"/>
        <w:jc w:val="left"/>
        <w:rPr>
          <w:sz w:val="22"/>
        </w:rPr>
      </w:pPr>
      <w:r>
        <w:rPr>
          <w:sz w:val="22"/>
        </w:rPr>
        <w:t>The meter shall measure demand (kW) and consumption</w:t>
      </w:r>
      <w:r>
        <w:rPr>
          <w:spacing w:val="-15"/>
          <w:sz w:val="22"/>
        </w:rPr>
        <w:t> </w:t>
      </w:r>
      <w:r>
        <w:rPr>
          <w:sz w:val="22"/>
        </w:rPr>
        <w:t>(kWh).</w:t>
      </w:r>
    </w:p>
    <w:p>
      <w:pPr>
        <w:pStyle w:val="ListParagraph"/>
        <w:numPr>
          <w:ilvl w:val="4"/>
          <w:numId w:val="6"/>
        </w:numPr>
        <w:tabs>
          <w:tab w:pos="1301" w:val="left" w:leader="none"/>
        </w:tabs>
        <w:spacing w:line="240" w:lineRule="auto" w:before="78" w:after="0"/>
        <w:ind w:left="1300" w:right="942" w:hanging="360"/>
        <w:jc w:val="left"/>
        <w:rPr>
          <w:sz w:val="22"/>
        </w:rPr>
      </w:pPr>
      <w:r>
        <w:rPr>
          <w:sz w:val="22"/>
        </w:rPr>
        <w:t>The consumption (kWh) variable shall be stored in non-volatile memory and retained in the event of a power</w:t>
      </w:r>
      <w:r>
        <w:rPr>
          <w:spacing w:val="2"/>
          <w:sz w:val="22"/>
        </w:rPr>
        <w:t> </w:t>
      </w:r>
      <w:r>
        <w:rPr>
          <w:sz w:val="22"/>
        </w:rPr>
        <w:t>outage.</w:t>
      </w:r>
    </w:p>
    <w:p>
      <w:pPr>
        <w:pStyle w:val="ListParagraph"/>
        <w:numPr>
          <w:ilvl w:val="4"/>
          <w:numId w:val="6"/>
        </w:numPr>
        <w:tabs>
          <w:tab w:pos="1301" w:val="left" w:leader="none"/>
        </w:tabs>
        <w:spacing w:line="240" w:lineRule="auto" w:before="82" w:after="0"/>
        <w:ind w:left="1300" w:right="0" w:hanging="360"/>
        <w:jc w:val="left"/>
        <w:rPr>
          <w:sz w:val="22"/>
        </w:rPr>
      </w:pPr>
      <w:r>
        <w:rPr>
          <w:sz w:val="22"/>
        </w:rPr>
        <w:t>The meter shall directly accept any voltage input from 120-480</w:t>
      </w:r>
      <w:r>
        <w:rPr>
          <w:spacing w:val="-10"/>
          <w:sz w:val="22"/>
        </w:rPr>
        <w:t> </w:t>
      </w:r>
      <w:r>
        <w:rPr>
          <w:sz w:val="22"/>
        </w:rPr>
        <w:t>VAC.</w:t>
      </w:r>
    </w:p>
    <w:p>
      <w:pPr>
        <w:pStyle w:val="ListParagraph"/>
        <w:numPr>
          <w:ilvl w:val="4"/>
          <w:numId w:val="6"/>
        </w:numPr>
        <w:tabs>
          <w:tab w:pos="1300" w:val="left" w:leader="none"/>
          <w:tab w:pos="1301" w:val="left" w:leader="none"/>
        </w:tabs>
        <w:spacing w:line="244" w:lineRule="auto" w:before="76" w:after="0"/>
        <w:ind w:left="1300" w:right="987" w:hanging="360"/>
        <w:jc w:val="left"/>
        <w:rPr>
          <w:sz w:val="22"/>
        </w:rPr>
      </w:pPr>
      <w:r>
        <w:rPr>
          <w:sz w:val="22"/>
        </w:rPr>
        <w:t>The meter shall be calibrated as a system and be accurate to +/- 1% from 5% to 100% of the rated current over a temperature range of 0-60</w:t>
      </w:r>
      <w:r>
        <w:rPr>
          <w:spacing w:val="-7"/>
          <w:sz w:val="22"/>
        </w:rPr>
        <w:t> </w:t>
      </w:r>
      <w:r>
        <w:rPr>
          <w:sz w:val="22"/>
        </w:rPr>
        <w:t>C.</w:t>
      </w:r>
    </w:p>
    <w:p>
      <w:pPr>
        <w:pStyle w:val="ListParagraph"/>
        <w:numPr>
          <w:ilvl w:val="4"/>
          <w:numId w:val="6"/>
        </w:numPr>
        <w:tabs>
          <w:tab w:pos="1301" w:val="left" w:leader="none"/>
        </w:tabs>
        <w:spacing w:line="240" w:lineRule="auto" w:before="75" w:after="0"/>
        <w:ind w:left="1300" w:right="0" w:hanging="360"/>
        <w:jc w:val="left"/>
        <w:rPr>
          <w:sz w:val="22"/>
        </w:rPr>
      </w:pPr>
      <w:r>
        <w:rPr>
          <w:sz w:val="22"/>
        </w:rPr>
        <w:t>The meter shall conform to ANSI C12.1 metering</w:t>
      </w:r>
      <w:r>
        <w:rPr>
          <w:spacing w:val="-17"/>
          <w:sz w:val="22"/>
        </w:rPr>
        <w:t> </w:t>
      </w:r>
      <w:r>
        <w:rPr>
          <w:sz w:val="22"/>
        </w:rPr>
        <w:t>standards.</w:t>
      </w:r>
    </w:p>
    <w:p>
      <w:pPr>
        <w:pStyle w:val="ListParagraph"/>
        <w:numPr>
          <w:ilvl w:val="4"/>
          <w:numId w:val="6"/>
        </w:numPr>
        <w:tabs>
          <w:tab w:pos="1301" w:val="left" w:leader="none"/>
        </w:tabs>
        <w:spacing w:line="240" w:lineRule="auto" w:before="78" w:after="0"/>
        <w:ind w:left="1300" w:right="0" w:hanging="360"/>
        <w:jc w:val="left"/>
        <w:rPr>
          <w:sz w:val="22"/>
        </w:rPr>
      </w:pPr>
      <w:r>
        <w:rPr>
          <w:sz w:val="22"/>
        </w:rPr>
        <w:t>The power meter shall be internally isolated to 2000</w:t>
      </w:r>
      <w:r>
        <w:rPr>
          <w:spacing w:val="-5"/>
          <w:sz w:val="22"/>
        </w:rPr>
        <w:t> </w:t>
      </w:r>
      <w:r>
        <w:rPr>
          <w:sz w:val="22"/>
        </w:rPr>
        <w:t>VAC.</w:t>
      </w:r>
    </w:p>
    <w:p>
      <w:pPr>
        <w:pStyle w:val="ListParagraph"/>
        <w:numPr>
          <w:ilvl w:val="4"/>
          <w:numId w:val="6"/>
        </w:numPr>
        <w:tabs>
          <w:tab w:pos="1301" w:val="left" w:leader="none"/>
        </w:tabs>
        <w:spacing w:line="240" w:lineRule="auto" w:before="80" w:after="0"/>
        <w:ind w:left="1300" w:right="0" w:hanging="360"/>
        <w:jc w:val="left"/>
        <w:rPr>
          <w:sz w:val="22"/>
        </w:rPr>
      </w:pPr>
      <w:r>
        <w:rPr>
          <w:sz w:val="22"/>
        </w:rPr>
        <w:t>The power meter case isolation shall be 600</w:t>
      </w:r>
      <w:r>
        <w:rPr>
          <w:spacing w:val="-3"/>
          <w:sz w:val="22"/>
        </w:rPr>
        <w:t> </w:t>
      </w:r>
      <w:r>
        <w:rPr>
          <w:sz w:val="22"/>
        </w:rPr>
        <w:t>VAC.</w:t>
      </w:r>
    </w:p>
    <w:p>
      <w:pPr>
        <w:pStyle w:val="ListParagraph"/>
        <w:numPr>
          <w:ilvl w:val="4"/>
          <w:numId w:val="6"/>
        </w:numPr>
        <w:tabs>
          <w:tab w:pos="1301" w:val="left" w:leader="none"/>
        </w:tabs>
        <w:spacing w:line="240" w:lineRule="auto" w:before="79" w:after="0"/>
        <w:ind w:left="1300" w:right="1088" w:hanging="360"/>
        <w:jc w:val="left"/>
        <w:rPr>
          <w:sz w:val="22"/>
        </w:rPr>
      </w:pPr>
      <w:r>
        <w:rPr>
          <w:sz w:val="22"/>
        </w:rPr>
        <w:t>The power meter series shall have models available for Amperage ranges of 10-2400 Amperes.</w:t>
      </w:r>
    </w:p>
    <w:p>
      <w:pPr>
        <w:pStyle w:val="ListParagraph"/>
        <w:numPr>
          <w:ilvl w:val="4"/>
          <w:numId w:val="6"/>
        </w:numPr>
        <w:tabs>
          <w:tab w:pos="1301" w:val="left" w:leader="none"/>
        </w:tabs>
        <w:spacing w:line="240" w:lineRule="auto" w:before="79" w:after="0"/>
        <w:ind w:left="1300" w:right="847" w:hanging="360"/>
        <w:jc w:val="left"/>
        <w:rPr>
          <w:sz w:val="22"/>
        </w:rPr>
      </w:pPr>
      <w:r>
        <w:rPr>
          <w:sz w:val="22"/>
        </w:rPr>
        <w:t>Consumption meters on shore ties and exterior panels shall have a watertight protective housing.</w:t>
      </w:r>
    </w:p>
    <w:p>
      <w:pPr>
        <w:pStyle w:val="ListParagraph"/>
        <w:numPr>
          <w:ilvl w:val="4"/>
          <w:numId w:val="6"/>
        </w:numPr>
        <w:tabs>
          <w:tab w:pos="1301" w:val="left" w:leader="none"/>
        </w:tabs>
        <w:spacing w:line="240" w:lineRule="auto" w:before="82" w:after="0"/>
        <w:ind w:left="1300" w:right="0" w:hanging="360"/>
        <w:jc w:val="left"/>
        <w:rPr>
          <w:sz w:val="22"/>
        </w:rPr>
      </w:pPr>
      <w:r>
        <w:rPr>
          <w:sz w:val="22"/>
        </w:rPr>
        <w:t>The meter shall include specifications for any peripherals</w:t>
      </w:r>
      <w:r>
        <w:rPr>
          <w:spacing w:val="-9"/>
          <w:sz w:val="22"/>
        </w:rPr>
        <w:t> </w:t>
      </w:r>
      <w:r>
        <w:rPr>
          <w:sz w:val="22"/>
        </w:rPr>
        <w:t>required.</w:t>
      </w:r>
    </w:p>
    <w:p>
      <w:pPr>
        <w:pStyle w:val="BodyText"/>
        <w:spacing w:before="9"/>
        <w:rPr>
          <w:sz w:val="20"/>
        </w:rPr>
      </w:pPr>
    </w:p>
    <w:p>
      <w:pPr>
        <w:pStyle w:val="Heading4"/>
        <w:ind w:left="580" w:firstLine="0"/>
        <w:rPr>
          <w:i/>
        </w:rPr>
      </w:pPr>
      <w:r>
        <w:rPr>
          <w:i/>
        </w:rPr>
        <w:t>Alternate Configuration</w:t>
      </w:r>
    </w:p>
    <w:p>
      <w:pPr>
        <w:pStyle w:val="BodyText"/>
        <w:spacing w:line="276" w:lineRule="auto" w:before="120"/>
        <w:ind w:left="580" w:right="768"/>
      </w:pPr>
      <w:r>
        <w:rPr/>
        <w:t>In situations where panels have a lack of space available or if power entering panel exceeds the capacity of the Standard Configuration (480 VAC, 2400 Amperes), alternate metering solutions that meet the requirements of standard configuration will be considered as follows:</w:t>
      </w:r>
    </w:p>
    <w:p>
      <w:pPr>
        <w:pStyle w:val="ListParagraph"/>
        <w:numPr>
          <w:ilvl w:val="0"/>
          <w:numId w:val="7"/>
        </w:numPr>
        <w:tabs>
          <w:tab w:pos="1301" w:val="left" w:leader="none"/>
        </w:tabs>
        <w:spacing w:line="240" w:lineRule="auto" w:before="121" w:after="0"/>
        <w:ind w:left="1300" w:right="0" w:hanging="360"/>
        <w:jc w:val="left"/>
        <w:rPr>
          <w:sz w:val="22"/>
        </w:rPr>
      </w:pPr>
      <w:r>
        <w:rPr>
          <w:sz w:val="22"/>
        </w:rPr>
        <w:t>Current Transformer (CT)</w:t>
      </w:r>
      <w:r>
        <w:rPr>
          <w:spacing w:val="-1"/>
          <w:sz w:val="22"/>
        </w:rPr>
        <w:t> </w:t>
      </w:r>
      <w:r>
        <w:rPr>
          <w:sz w:val="22"/>
        </w:rPr>
        <w:t>options:</w:t>
      </w:r>
    </w:p>
    <w:p>
      <w:pPr>
        <w:pStyle w:val="ListParagraph"/>
        <w:numPr>
          <w:ilvl w:val="1"/>
          <w:numId w:val="7"/>
        </w:numPr>
        <w:tabs>
          <w:tab w:pos="2021" w:val="left" w:leader="none"/>
        </w:tabs>
        <w:spacing w:line="242" w:lineRule="auto" w:before="119" w:after="0"/>
        <w:ind w:left="2020" w:right="811" w:hanging="360"/>
        <w:jc w:val="left"/>
        <w:rPr>
          <w:sz w:val="22"/>
        </w:rPr>
      </w:pPr>
      <w:r>
        <w:rPr>
          <w:sz w:val="22"/>
        </w:rPr>
        <w:t>Split Core Flexible CTs are encapsulated in silicone rubber allowing for movement when placing in a panel with minimal space. The CT’s are available in both round and rectangular</w:t>
      </w:r>
      <w:r>
        <w:rPr>
          <w:spacing w:val="-4"/>
          <w:sz w:val="22"/>
        </w:rPr>
        <w:t> </w:t>
      </w:r>
      <w:r>
        <w:rPr>
          <w:sz w:val="22"/>
        </w:rPr>
        <w:t>shapes.</w:t>
      </w:r>
    </w:p>
    <w:p>
      <w:pPr>
        <w:pStyle w:val="ListParagraph"/>
        <w:numPr>
          <w:ilvl w:val="1"/>
          <w:numId w:val="7"/>
        </w:numPr>
        <w:tabs>
          <w:tab w:pos="2021" w:val="left" w:leader="none"/>
        </w:tabs>
        <w:spacing w:line="240" w:lineRule="auto" w:before="73" w:after="0"/>
        <w:ind w:left="2020" w:right="948" w:hanging="360"/>
        <w:jc w:val="left"/>
        <w:rPr>
          <w:sz w:val="22"/>
        </w:rPr>
      </w:pPr>
      <w:r>
        <w:rPr>
          <w:sz w:val="22"/>
        </w:rPr>
        <w:t>Flexible Rope CTs have two parts, the flexible coil and compact power and energy meter. The flexible coil is shaped like a rope and fits in extremely tight spaces. The flexible coil is not a self-contained metering unit. The flexible coil is hard-wired into the power and energy meter where it transmits the data to the DAS via a Modhopper</w:t>
      </w:r>
      <w:r>
        <w:rPr>
          <w:spacing w:val="1"/>
          <w:sz w:val="22"/>
        </w:rPr>
        <w:t> </w:t>
      </w:r>
      <w:r>
        <w:rPr>
          <w:sz w:val="22"/>
        </w:rPr>
        <w:t>Transceiver.</w:t>
      </w:r>
    </w:p>
    <w:p>
      <w:pPr>
        <w:pStyle w:val="BodyText"/>
        <w:spacing w:before="8"/>
        <w:rPr>
          <w:sz w:val="20"/>
        </w:rPr>
      </w:pPr>
    </w:p>
    <w:p>
      <w:pPr>
        <w:pStyle w:val="Heading3"/>
        <w:numPr>
          <w:ilvl w:val="2"/>
          <w:numId w:val="6"/>
        </w:numPr>
        <w:tabs>
          <w:tab w:pos="1300" w:val="left" w:leader="none"/>
          <w:tab w:pos="1301" w:val="left" w:leader="none"/>
        </w:tabs>
        <w:spacing w:line="240" w:lineRule="auto" w:before="0" w:after="0"/>
        <w:ind w:left="1300" w:right="0" w:hanging="720"/>
        <w:jc w:val="left"/>
      </w:pPr>
      <w:bookmarkStart w:name="_bookmark20" w:id="34"/>
      <w:bookmarkEnd w:id="34"/>
      <w:r>
        <w:rPr>
          <w:b w:val="0"/>
        </w:rPr>
      </w:r>
      <w:bookmarkStart w:name="_bookmark20" w:id="35"/>
      <w:bookmarkEnd w:id="35"/>
      <w:r>
        <w:rPr/>
        <w:t>N</w:t>
      </w:r>
      <w:r>
        <w:rPr/>
        <w:t>atural Gas or Propane</w:t>
      </w:r>
      <w:r>
        <w:rPr>
          <w:spacing w:val="-3"/>
        </w:rPr>
        <w:t> </w:t>
      </w:r>
      <w:r>
        <w:rPr/>
        <w:t>Meters</w:t>
      </w:r>
    </w:p>
    <w:p>
      <w:pPr>
        <w:pStyle w:val="BodyText"/>
        <w:rPr>
          <w:b/>
          <w:sz w:val="21"/>
        </w:rPr>
      </w:pPr>
    </w:p>
    <w:p>
      <w:pPr>
        <w:pStyle w:val="Heading4"/>
        <w:numPr>
          <w:ilvl w:val="3"/>
          <w:numId w:val="6"/>
        </w:numPr>
        <w:tabs>
          <w:tab w:pos="1445" w:val="left" w:leader="none"/>
        </w:tabs>
        <w:spacing w:line="240" w:lineRule="auto" w:before="0" w:after="0"/>
        <w:ind w:left="1444" w:right="0" w:hanging="864"/>
        <w:jc w:val="left"/>
        <w:rPr>
          <w:i/>
        </w:rPr>
      </w:pPr>
      <w:r>
        <w:rPr>
          <w:i/>
        </w:rPr>
        <w:t>Introduction</w:t>
      </w:r>
    </w:p>
    <w:p>
      <w:pPr>
        <w:pStyle w:val="BodyText"/>
        <w:spacing w:line="276" w:lineRule="auto" w:before="119"/>
        <w:ind w:left="580" w:right="1160"/>
      </w:pPr>
      <w:r>
        <w:rPr/>
        <w:t>Per the </w:t>
      </w:r>
      <w:r>
        <w:rPr>
          <w:i/>
        </w:rPr>
        <w:t>Shore Facilities Utilities Metering Guidance Memorandum</w:t>
      </w:r>
      <w:r>
        <w:rPr/>
        <w:t>, natural gas or propane meters depend on the application, flow rate, installation access, and desired accuracy of the meter. Therefore meters shall be installed that compensate for density variations between standard and actual conditions for accurately defined flow rates.</w:t>
      </w:r>
    </w:p>
    <w:p>
      <w:pPr>
        <w:spacing w:after="0" w:line="276" w:lineRule="auto"/>
        <w:sectPr>
          <w:pgSz w:w="12240" w:h="15840"/>
          <w:pgMar w:header="724" w:footer="1020" w:top="1220" w:bottom="1220" w:left="860" w:right="680"/>
        </w:sectPr>
      </w:pPr>
    </w:p>
    <w:p>
      <w:pPr>
        <w:pStyle w:val="BodyText"/>
        <w:spacing w:before="6"/>
        <w:rPr>
          <w:sz w:val="10"/>
        </w:rPr>
      </w:pPr>
    </w:p>
    <w:p>
      <w:pPr>
        <w:pStyle w:val="BodyText"/>
        <w:spacing w:line="276" w:lineRule="auto" w:before="94"/>
        <w:ind w:left="580" w:right="842"/>
      </w:pPr>
      <w:r>
        <w:rPr/>
        <w:t>Improving energy systems within the Coast Guard rests, in part, on detailed knowledge of current energy use. That in turn, depends on metering not only sources of electricity and chilled water, but also monitoring natural gas or propane mass flow and consumption.</w:t>
      </w:r>
    </w:p>
    <w:p>
      <w:pPr>
        <w:pStyle w:val="BodyText"/>
        <w:spacing w:line="276" w:lineRule="auto" w:before="121"/>
        <w:ind w:left="580" w:right="769"/>
      </w:pPr>
      <w:r>
        <w:rPr/>
        <w:t>By monitoring the flow rate and consumption, it becomes possible to identify unusual consumption points, encourage conservation, reduce energy costs, and minimize environmental impact. Thermal Mass flow metering can provide cost allocations to differing operating areas, ascertain aging issues of process equipment such as boilers or furnaces, and identify possible leaks in fuel feed lines.</w:t>
      </w:r>
    </w:p>
    <w:p>
      <w:pPr>
        <w:pStyle w:val="BodyText"/>
        <w:spacing w:before="9"/>
        <w:rPr>
          <w:sz w:val="20"/>
        </w:rPr>
      </w:pPr>
    </w:p>
    <w:p>
      <w:pPr>
        <w:pStyle w:val="Heading4"/>
        <w:numPr>
          <w:ilvl w:val="3"/>
          <w:numId w:val="6"/>
        </w:numPr>
        <w:tabs>
          <w:tab w:pos="1445" w:val="left" w:leader="none"/>
        </w:tabs>
        <w:spacing w:line="240" w:lineRule="auto" w:before="1" w:after="0"/>
        <w:ind w:left="1444" w:right="0" w:hanging="864"/>
        <w:jc w:val="left"/>
        <w:rPr>
          <w:i/>
        </w:rPr>
      </w:pPr>
      <w:r>
        <w:rPr>
          <w:i/>
        </w:rPr>
        <w:t>Gas Meter Equipment</w:t>
      </w:r>
      <w:r>
        <w:rPr>
          <w:i/>
          <w:spacing w:val="-2"/>
        </w:rPr>
        <w:t> </w:t>
      </w:r>
      <w:r>
        <w:rPr>
          <w:i/>
        </w:rPr>
        <w:t>Specification</w:t>
      </w:r>
    </w:p>
    <w:p>
      <w:pPr>
        <w:pStyle w:val="ListParagraph"/>
        <w:numPr>
          <w:ilvl w:val="4"/>
          <w:numId w:val="6"/>
        </w:numPr>
        <w:tabs>
          <w:tab w:pos="1301" w:val="left" w:leader="none"/>
        </w:tabs>
        <w:spacing w:line="240" w:lineRule="auto" w:before="121" w:after="0"/>
        <w:ind w:left="1300" w:right="0" w:hanging="360"/>
        <w:jc w:val="left"/>
        <w:rPr>
          <w:sz w:val="22"/>
        </w:rPr>
      </w:pPr>
      <w:r>
        <w:rPr>
          <w:sz w:val="22"/>
        </w:rPr>
        <w:t>The gas meter shall be capable of measuring the variables listed in Section</w:t>
      </w:r>
      <w:r>
        <w:rPr>
          <w:spacing w:val="-15"/>
          <w:sz w:val="22"/>
        </w:rPr>
        <w:t> </w:t>
      </w:r>
      <w:hyperlink w:history="true" w:anchor="_bookmark29">
        <w:r>
          <w:rPr>
            <w:sz w:val="22"/>
          </w:rPr>
          <w:t>3.3.2</w:t>
        </w:r>
      </w:hyperlink>
      <w:r>
        <w:rPr>
          <w:sz w:val="22"/>
        </w:rPr>
        <w:t>.</w:t>
      </w:r>
    </w:p>
    <w:p>
      <w:pPr>
        <w:pStyle w:val="ListParagraph"/>
        <w:numPr>
          <w:ilvl w:val="4"/>
          <w:numId w:val="6"/>
        </w:numPr>
        <w:tabs>
          <w:tab w:pos="1301" w:val="left" w:leader="none"/>
        </w:tabs>
        <w:spacing w:line="240" w:lineRule="auto" w:before="81" w:after="0"/>
        <w:ind w:left="1300" w:right="0" w:hanging="360"/>
        <w:jc w:val="left"/>
        <w:rPr>
          <w:sz w:val="22"/>
        </w:rPr>
      </w:pPr>
      <w:r>
        <w:rPr>
          <w:sz w:val="22"/>
        </w:rPr>
        <w:t>The gas meter shall support capture of variables at the interval defined in Section</w:t>
      </w:r>
      <w:r>
        <w:rPr>
          <w:spacing w:val="-17"/>
          <w:sz w:val="22"/>
        </w:rPr>
        <w:t> </w:t>
      </w:r>
      <w:hyperlink w:history="true" w:anchor="_bookmark30">
        <w:r>
          <w:rPr>
            <w:sz w:val="22"/>
          </w:rPr>
          <w:t>3.3.3</w:t>
        </w:r>
      </w:hyperlink>
      <w:r>
        <w:rPr>
          <w:sz w:val="22"/>
        </w:rPr>
        <w:t>.</w:t>
      </w:r>
    </w:p>
    <w:p>
      <w:pPr>
        <w:pStyle w:val="ListParagraph"/>
        <w:numPr>
          <w:ilvl w:val="4"/>
          <w:numId w:val="6"/>
        </w:numPr>
        <w:tabs>
          <w:tab w:pos="1301" w:val="left" w:leader="none"/>
        </w:tabs>
        <w:spacing w:line="240" w:lineRule="auto" w:before="78" w:after="0"/>
        <w:ind w:left="1300" w:right="1605" w:hanging="360"/>
        <w:jc w:val="left"/>
        <w:rPr>
          <w:sz w:val="22"/>
        </w:rPr>
      </w:pPr>
      <w:r>
        <w:rPr>
          <w:sz w:val="22"/>
        </w:rPr>
        <w:t>The meter shall report serially over an RS-485 network using the Modbus (RTU) protocol.</w:t>
      </w:r>
    </w:p>
    <w:p>
      <w:pPr>
        <w:pStyle w:val="ListParagraph"/>
        <w:numPr>
          <w:ilvl w:val="4"/>
          <w:numId w:val="6"/>
        </w:numPr>
        <w:tabs>
          <w:tab w:pos="1301" w:val="left" w:leader="none"/>
        </w:tabs>
        <w:spacing w:line="240" w:lineRule="auto" w:before="80" w:after="0"/>
        <w:ind w:left="1300" w:right="1050" w:hanging="360"/>
        <w:jc w:val="left"/>
        <w:rPr>
          <w:sz w:val="22"/>
        </w:rPr>
      </w:pPr>
      <w:r>
        <w:rPr>
          <w:sz w:val="22"/>
        </w:rPr>
        <w:t>The thermal mass flow meter shall be used to measure and totalize the flow of natural gas or</w:t>
      </w:r>
      <w:r>
        <w:rPr>
          <w:spacing w:val="-3"/>
          <w:sz w:val="22"/>
        </w:rPr>
        <w:t> </w:t>
      </w:r>
      <w:r>
        <w:rPr>
          <w:sz w:val="22"/>
        </w:rPr>
        <w:t>propane.</w:t>
      </w:r>
    </w:p>
    <w:p>
      <w:pPr>
        <w:pStyle w:val="ListParagraph"/>
        <w:numPr>
          <w:ilvl w:val="4"/>
          <w:numId w:val="6"/>
        </w:numPr>
        <w:tabs>
          <w:tab w:pos="1301" w:val="left" w:leader="none"/>
        </w:tabs>
        <w:spacing w:line="240" w:lineRule="auto" w:before="80" w:after="0"/>
        <w:ind w:left="1300" w:right="1081" w:hanging="360"/>
        <w:jc w:val="left"/>
        <w:rPr>
          <w:sz w:val="22"/>
        </w:rPr>
      </w:pPr>
      <w:r>
        <w:rPr>
          <w:sz w:val="22"/>
        </w:rPr>
        <w:t>The flow meter shall accept an input power of 24 VDC and output a 4-20 mA signal of the flow rate along with a pulse</w:t>
      </w:r>
      <w:r>
        <w:rPr>
          <w:spacing w:val="-6"/>
          <w:sz w:val="22"/>
        </w:rPr>
        <w:t> </w:t>
      </w:r>
      <w:r>
        <w:rPr>
          <w:sz w:val="22"/>
        </w:rPr>
        <w:t>output.</w:t>
      </w:r>
    </w:p>
    <w:p>
      <w:pPr>
        <w:pStyle w:val="ListParagraph"/>
        <w:numPr>
          <w:ilvl w:val="4"/>
          <w:numId w:val="6"/>
        </w:numPr>
        <w:tabs>
          <w:tab w:pos="1301" w:val="left" w:leader="none"/>
        </w:tabs>
        <w:spacing w:line="240" w:lineRule="auto" w:before="82" w:after="0"/>
        <w:ind w:left="1300" w:right="0" w:hanging="360"/>
        <w:jc w:val="left"/>
        <w:rPr>
          <w:sz w:val="22"/>
        </w:rPr>
      </w:pPr>
      <w:r>
        <w:rPr>
          <w:sz w:val="22"/>
        </w:rPr>
        <w:t>Flow meter shall be rated for use in Class 1, Division 2 hazardous area, per</w:t>
      </w:r>
      <w:r>
        <w:rPr>
          <w:spacing w:val="-10"/>
          <w:sz w:val="22"/>
        </w:rPr>
        <w:t> </w:t>
      </w:r>
      <w:r>
        <w:rPr>
          <w:sz w:val="22"/>
        </w:rPr>
        <w:t>NEC.</w:t>
      </w:r>
    </w:p>
    <w:p>
      <w:pPr>
        <w:pStyle w:val="ListParagraph"/>
        <w:numPr>
          <w:ilvl w:val="4"/>
          <w:numId w:val="6"/>
        </w:numPr>
        <w:tabs>
          <w:tab w:pos="1301" w:val="left" w:leader="none"/>
        </w:tabs>
        <w:spacing w:line="240" w:lineRule="auto" w:before="80" w:after="0"/>
        <w:ind w:left="1300" w:right="0" w:hanging="360"/>
        <w:jc w:val="left"/>
        <w:rPr>
          <w:sz w:val="22"/>
        </w:rPr>
      </w:pPr>
      <w:r>
        <w:rPr>
          <w:sz w:val="22"/>
        </w:rPr>
        <w:t>Probe and retractable device shall be suitable for the operating pressures of the</w:t>
      </w:r>
      <w:r>
        <w:rPr>
          <w:spacing w:val="-12"/>
          <w:sz w:val="22"/>
        </w:rPr>
        <w:t> </w:t>
      </w:r>
      <w:r>
        <w:rPr>
          <w:sz w:val="22"/>
        </w:rPr>
        <w:t>utility.</w:t>
      </w:r>
    </w:p>
    <w:p>
      <w:pPr>
        <w:pStyle w:val="ListParagraph"/>
        <w:numPr>
          <w:ilvl w:val="4"/>
          <w:numId w:val="6"/>
        </w:numPr>
        <w:tabs>
          <w:tab w:pos="1301" w:val="left" w:leader="none"/>
        </w:tabs>
        <w:spacing w:line="240" w:lineRule="auto" w:before="79" w:after="0"/>
        <w:ind w:left="1300" w:right="1254" w:hanging="360"/>
        <w:jc w:val="left"/>
        <w:rPr>
          <w:sz w:val="22"/>
        </w:rPr>
      </w:pPr>
      <w:r>
        <w:rPr>
          <w:sz w:val="22"/>
        </w:rPr>
        <w:t>The thermal mass flow meter shall be calibrated using the actual gas or gas mixture used in the installation. </w:t>
      </w:r>
      <w:r>
        <w:rPr>
          <w:spacing w:val="-2"/>
          <w:sz w:val="22"/>
        </w:rPr>
        <w:t>Air </w:t>
      </w:r>
      <w:r>
        <w:rPr>
          <w:sz w:val="22"/>
        </w:rPr>
        <w:t>equivalency calibrations shall not be</w:t>
      </w:r>
      <w:r>
        <w:rPr>
          <w:spacing w:val="-4"/>
          <w:sz w:val="22"/>
        </w:rPr>
        <w:t> </w:t>
      </w:r>
      <w:r>
        <w:rPr>
          <w:sz w:val="22"/>
        </w:rPr>
        <w:t>accepted.</w:t>
      </w:r>
    </w:p>
    <w:p>
      <w:pPr>
        <w:pStyle w:val="ListParagraph"/>
        <w:numPr>
          <w:ilvl w:val="4"/>
          <w:numId w:val="6"/>
        </w:numPr>
        <w:tabs>
          <w:tab w:pos="1300" w:val="left" w:leader="none"/>
          <w:tab w:pos="1301" w:val="left" w:leader="none"/>
        </w:tabs>
        <w:spacing w:line="240" w:lineRule="auto" w:before="82" w:after="0"/>
        <w:ind w:left="1300" w:right="0" w:hanging="360"/>
        <w:jc w:val="left"/>
        <w:rPr>
          <w:sz w:val="22"/>
        </w:rPr>
      </w:pPr>
      <w:r>
        <w:rPr>
          <w:sz w:val="22"/>
        </w:rPr>
        <w:t>Calibration system shall be NIST</w:t>
      </w:r>
      <w:r>
        <w:rPr>
          <w:spacing w:val="-2"/>
          <w:sz w:val="22"/>
        </w:rPr>
        <w:t> </w:t>
      </w:r>
      <w:r>
        <w:rPr>
          <w:sz w:val="22"/>
        </w:rPr>
        <w:t>traceable.</w:t>
      </w:r>
    </w:p>
    <w:p>
      <w:pPr>
        <w:pStyle w:val="ListParagraph"/>
        <w:numPr>
          <w:ilvl w:val="4"/>
          <w:numId w:val="6"/>
        </w:numPr>
        <w:tabs>
          <w:tab w:pos="1301" w:val="left" w:leader="none"/>
        </w:tabs>
        <w:spacing w:line="240" w:lineRule="auto" w:before="76" w:after="0"/>
        <w:ind w:left="1300" w:right="1151" w:hanging="360"/>
        <w:jc w:val="both"/>
        <w:rPr>
          <w:sz w:val="22"/>
        </w:rPr>
      </w:pPr>
      <w:r>
        <w:rPr>
          <w:sz w:val="22"/>
        </w:rPr>
        <w:t>The flow meter shall be factory configured for the specified flow rate and pipe size to permit it to be installed and placed into operation without need for any additional field setup.</w:t>
      </w:r>
    </w:p>
    <w:p>
      <w:pPr>
        <w:pStyle w:val="ListParagraph"/>
        <w:numPr>
          <w:ilvl w:val="4"/>
          <w:numId w:val="6"/>
        </w:numPr>
        <w:tabs>
          <w:tab w:pos="1301" w:val="left" w:leader="none"/>
        </w:tabs>
        <w:spacing w:line="242" w:lineRule="auto" w:before="81" w:after="0"/>
        <w:ind w:left="1300" w:right="911" w:hanging="360"/>
        <w:jc w:val="left"/>
        <w:rPr>
          <w:sz w:val="22"/>
        </w:rPr>
      </w:pPr>
      <w:r>
        <w:rPr>
          <w:sz w:val="22"/>
        </w:rPr>
        <w:t>The supplier of the thermal mass flow meter shall present a method of verifying that the flow meter is within original calibration; this test shall be performed without having to remove the flow meter from the</w:t>
      </w:r>
      <w:r>
        <w:rPr>
          <w:spacing w:val="-13"/>
          <w:sz w:val="22"/>
        </w:rPr>
        <w:t> </w:t>
      </w:r>
      <w:r>
        <w:rPr>
          <w:sz w:val="22"/>
        </w:rPr>
        <w:t>pipe.</w:t>
      </w:r>
    </w:p>
    <w:p>
      <w:pPr>
        <w:pStyle w:val="BodyText"/>
        <w:spacing w:before="2"/>
        <w:rPr>
          <w:sz w:val="20"/>
        </w:rPr>
      </w:pPr>
    </w:p>
    <w:p>
      <w:pPr>
        <w:pStyle w:val="Heading3"/>
        <w:numPr>
          <w:ilvl w:val="2"/>
          <w:numId w:val="6"/>
        </w:numPr>
        <w:tabs>
          <w:tab w:pos="1300" w:val="left" w:leader="none"/>
          <w:tab w:pos="1301" w:val="left" w:leader="none"/>
        </w:tabs>
        <w:spacing w:line="240" w:lineRule="auto" w:before="0" w:after="0"/>
        <w:ind w:left="1300" w:right="0" w:hanging="720"/>
        <w:jc w:val="left"/>
      </w:pPr>
      <w:bookmarkStart w:name="_bookmark21" w:id="36"/>
      <w:bookmarkEnd w:id="36"/>
      <w:r>
        <w:rPr>
          <w:b w:val="0"/>
        </w:rPr>
      </w:r>
      <w:bookmarkStart w:name="_bookmark21" w:id="37"/>
      <w:bookmarkEnd w:id="37"/>
      <w:r>
        <w:rPr/>
        <w:t>Wat</w:t>
      </w:r>
      <w:r>
        <w:rPr/>
        <w:t>er</w:t>
      </w:r>
      <w:r>
        <w:rPr>
          <w:spacing w:val="-1"/>
        </w:rPr>
        <w:t> </w:t>
      </w:r>
      <w:r>
        <w:rPr/>
        <w:t>Meters</w:t>
      </w:r>
    </w:p>
    <w:p>
      <w:pPr>
        <w:pStyle w:val="BodyText"/>
        <w:rPr>
          <w:b/>
          <w:sz w:val="21"/>
        </w:rPr>
      </w:pPr>
    </w:p>
    <w:p>
      <w:pPr>
        <w:pStyle w:val="Heading4"/>
        <w:numPr>
          <w:ilvl w:val="3"/>
          <w:numId w:val="6"/>
        </w:numPr>
        <w:tabs>
          <w:tab w:pos="1445" w:val="left" w:leader="none"/>
        </w:tabs>
        <w:spacing w:line="240" w:lineRule="auto" w:before="0" w:after="0"/>
        <w:ind w:left="1444" w:right="0" w:hanging="864"/>
        <w:jc w:val="left"/>
        <w:rPr>
          <w:i/>
        </w:rPr>
      </w:pPr>
      <w:r>
        <w:rPr>
          <w:i/>
        </w:rPr>
        <w:t>Introduction</w:t>
      </w:r>
    </w:p>
    <w:p>
      <w:pPr>
        <w:pStyle w:val="BodyText"/>
        <w:spacing w:line="276" w:lineRule="auto" w:before="119"/>
        <w:ind w:left="580" w:right="794"/>
      </w:pPr>
      <w:r>
        <w:rPr/>
        <w:t>Selection criteria for water meters are based on size of pipe. The specific metering option chosen will depend on a number of factors including, but not limited to, current design, life cycle costs, accuracy requirements, resolution, minimum flow rate, potable versus non-potable, range of flow rates, and maximum flow rate. Cooling towers are especially important for metering as this represents reclaimed water and is not billed for sewer.</w:t>
      </w:r>
    </w:p>
    <w:p>
      <w:pPr>
        <w:pStyle w:val="BodyText"/>
        <w:spacing w:before="10"/>
        <w:rPr>
          <w:sz w:val="20"/>
        </w:rPr>
      </w:pPr>
    </w:p>
    <w:p>
      <w:pPr>
        <w:pStyle w:val="Heading4"/>
        <w:numPr>
          <w:ilvl w:val="3"/>
          <w:numId w:val="6"/>
        </w:numPr>
        <w:tabs>
          <w:tab w:pos="1445" w:val="left" w:leader="none"/>
        </w:tabs>
        <w:spacing w:line="240" w:lineRule="auto" w:before="0" w:after="0"/>
        <w:ind w:left="1444" w:right="0" w:hanging="864"/>
        <w:jc w:val="left"/>
        <w:rPr>
          <w:i/>
        </w:rPr>
      </w:pPr>
      <w:r>
        <w:rPr>
          <w:i/>
        </w:rPr>
        <w:t>Water Meter Equipment</w:t>
      </w:r>
      <w:r>
        <w:rPr>
          <w:i/>
          <w:spacing w:val="-2"/>
        </w:rPr>
        <w:t> </w:t>
      </w:r>
      <w:r>
        <w:rPr>
          <w:i/>
        </w:rPr>
        <w:t>Specification</w:t>
      </w:r>
    </w:p>
    <w:p>
      <w:pPr>
        <w:spacing w:before="119"/>
        <w:ind w:left="580" w:right="0" w:firstLine="0"/>
        <w:jc w:val="left"/>
        <w:rPr>
          <w:b/>
          <w:sz w:val="22"/>
        </w:rPr>
      </w:pPr>
      <w:r>
        <w:rPr>
          <w:b/>
          <w:sz w:val="22"/>
        </w:rPr>
        <w:t>Water Meters</w:t>
      </w:r>
    </w:p>
    <w:p>
      <w:pPr>
        <w:pStyle w:val="ListParagraph"/>
        <w:numPr>
          <w:ilvl w:val="4"/>
          <w:numId w:val="6"/>
        </w:numPr>
        <w:tabs>
          <w:tab w:pos="1301" w:val="left" w:leader="none"/>
        </w:tabs>
        <w:spacing w:line="240" w:lineRule="auto" w:before="160" w:after="0"/>
        <w:ind w:left="1300" w:right="1385" w:hanging="360"/>
        <w:jc w:val="left"/>
        <w:rPr>
          <w:sz w:val="22"/>
        </w:rPr>
      </w:pPr>
      <w:r>
        <w:rPr>
          <w:sz w:val="22"/>
        </w:rPr>
        <w:t>The water meters shall comply with most current federal mandates for potable and process water use reporting</w:t>
      </w:r>
      <w:r>
        <w:rPr>
          <w:spacing w:val="-3"/>
          <w:sz w:val="22"/>
        </w:rPr>
        <w:t> </w:t>
      </w:r>
      <w:r>
        <w:rPr>
          <w:sz w:val="22"/>
        </w:rPr>
        <w:t>requirements.</w:t>
      </w:r>
    </w:p>
    <w:p>
      <w:pPr>
        <w:spacing w:after="0" w:line="240" w:lineRule="auto"/>
        <w:jc w:val="left"/>
        <w:rPr>
          <w:sz w:val="22"/>
        </w:rPr>
        <w:sectPr>
          <w:pgSz w:w="12240" w:h="15840"/>
          <w:pgMar w:header="724" w:footer="1020" w:top="1220" w:bottom="1220" w:left="860" w:right="680"/>
        </w:sectPr>
      </w:pPr>
    </w:p>
    <w:p>
      <w:pPr>
        <w:pStyle w:val="BodyText"/>
        <w:spacing w:before="8"/>
        <w:rPr>
          <w:sz w:val="10"/>
        </w:rPr>
      </w:pPr>
    </w:p>
    <w:p>
      <w:pPr>
        <w:pStyle w:val="ListParagraph"/>
        <w:numPr>
          <w:ilvl w:val="4"/>
          <w:numId w:val="6"/>
        </w:numPr>
        <w:tabs>
          <w:tab w:pos="1301" w:val="left" w:leader="none"/>
        </w:tabs>
        <w:spacing w:line="240" w:lineRule="auto" w:before="94" w:after="0"/>
        <w:ind w:left="1300" w:right="0" w:hanging="360"/>
        <w:jc w:val="left"/>
        <w:rPr>
          <w:sz w:val="22"/>
        </w:rPr>
      </w:pPr>
      <w:r>
        <w:rPr>
          <w:sz w:val="22"/>
        </w:rPr>
        <w:t>Water meters shall be a Positive Displacement Meter</w:t>
      </w:r>
      <w:r>
        <w:rPr>
          <w:spacing w:val="-3"/>
          <w:sz w:val="22"/>
        </w:rPr>
        <w:t> </w:t>
      </w:r>
      <w:r>
        <w:rPr>
          <w:sz w:val="22"/>
        </w:rPr>
        <w:t>type.</w:t>
      </w:r>
    </w:p>
    <w:p>
      <w:pPr>
        <w:pStyle w:val="ListParagraph"/>
        <w:numPr>
          <w:ilvl w:val="4"/>
          <w:numId w:val="6"/>
        </w:numPr>
        <w:tabs>
          <w:tab w:pos="1301" w:val="left" w:leader="none"/>
        </w:tabs>
        <w:spacing w:line="240" w:lineRule="auto" w:before="81" w:after="0"/>
        <w:ind w:left="1300" w:right="0" w:hanging="360"/>
        <w:jc w:val="left"/>
        <w:rPr>
          <w:sz w:val="22"/>
        </w:rPr>
      </w:pPr>
      <w:r>
        <w:rPr>
          <w:sz w:val="22"/>
        </w:rPr>
        <w:t>The water meters shall be capable of measuring the variables listed in Section</w:t>
      </w:r>
      <w:r>
        <w:rPr>
          <w:spacing w:val="-9"/>
          <w:sz w:val="22"/>
        </w:rPr>
        <w:t> </w:t>
      </w:r>
      <w:hyperlink w:history="true" w:anchor="_bookmark29">
        <w:r>
          <w:rPr>
            <w:sz w:val="22"/>
          </w:rPr>
          <w:t>3.3.2</w:t>
        </w:r>
      </w:hyperlink>
      <w:r>
        <w:rPr>
          <w:sz w:val="22"/>
        </w:rPr>
        <w:t>.</w:t>
      </w:r>
    </w:p>
    <w:p>
      <w:pPr>
        <w:pStyle w:val="ListParagraph"/>
        <w:numPr>
          <w:ilvl w:val="4"/>
          <w:numId w:val="6"/>
        </w:numPr>
        <w:tabs>
          <w:tab w:pos="1301" w:val="left" w:leader="none"/>
        </w:tabs>
        <w:spacing w:line="244" w:lineRule="auto" w:before="76" w:after="0"/>
        <w:ind w:left="1300" w:right="1197" w:hanging="360"/>
        <w:jc w:val="left"/>
        <w:rPr>
          <w:sz w:val="22"/>
        </w:rPr>
      </w:pPr>
      <w:r>
        <w:rPr>
          <w:sz w:val="22"/>
        </w:rPr>
        <w:t>The water meters shall support capture of variables at the interval defined in Section </w:t>
      </w:r>
      <w:hyperlink w:history="true" w:anchor="_bookmark30">
        <w:r>
          <w:rPr>
            <w:sz w:val="22"/>
          </w:rPr>
          <w:t>3.3.3</w:t>
        </w:r>
      </w:hyperlink>
      <w:r>
        <w:rPr>
          <w:sz w:val="22"/>
        </w:rPr>
        <w:t>.</w:t>
      </w:r>
    </w:p>
    <w:p>
      <w:pPr>
        <w:pStyle w:val="ListParagraph"/>
        <w:numPr>
          <w:ilvl w:val="4"/>
          <w:numId w:val="6"/>
        </w:numPr>
        <w:tabs>
          <w:tab w:pos="1301" w:val="left" w:leader="none"/>
        </w:tabs>
        <w:spacing w:line="240" w:lineRule="auto" w:before="72" w:after="0"/>
        <w:ind w:left="1300" w:right="897" w:hanging="360"/>
        <w:jc w:val="left"/>
        <w:rPr>
          <w:sz w:val="22"/>
        </w:rPr>
      </w:pPr>
      <w:r>
        <w:rPr>
          <w:sz w:val="22"/>
        </w:rPr>
        <w:t>The water meters shall report serially over an RS-485 network using the Modbus (RTU) protocol.</w:t>
      </w:r>
    </w:p>
    <w:p>
      <w:pPr>
        <w:pStyle w:val="ListParagraph"/>
        <w:numPr>
          <w:ilvl w:val="4"/>
          <w:numId w:val="6"/>
        </w:numPr>
        <w:tabs>
          <w:tab w:pos="1301" w:val="left" w:leader="none"/>
        </w:tabs>
        <w:spacing w:line="240" w:lineRule="auto" w:before="82" w:after="0"/>
        <w:ind w:left="1300" w:right="0" w:hanging="360"/>
        <w:jc w:val="left"/>
        <w:rPr>
          <w:sz w:val="22"/>
        </w:rPr>
      </w:pPr>
      <w:r>
        <w:rPr>
          <w:sz w:val="22"/>
        </w:rPr>
        <w:t>The water meters shall operate within the pipe size range of the</w:t>
      </w:r>
      <w:r>
        <w:rPr>
          <w:spacing w:val="-10"/>
          <w:sz w:val="22"/>
        </w:rPr>
        <w:t> </w:t>
      </w:r>
      <w:r>
        <w:rPr>
          <w:sz w:val="22"/>
        </w:rPr>
        <w:t>site.</w:t>
      </w:r>
    </w:p>
    <w:p>
      <w:pPr>
        <w:pStyle w:val="ListParagraph"/>
        <w:numPr>
          <w:ilvl w:val="4"/>
          <w:numId w:val="6"/>
        </w:numPr>
        <w:tabs>
          <w:tab w:pos="1301" w:val="left" w:leader="none"/>
        </w:tabs>
        <w:spacing w:line="240" w:lineRule="auto" w:before="80" w:after="0"/>
        <w:ind w:left="1300" w:right="0" w:hanging="360"/>
        <w:jc w:val="left"/>
        <w:rPr>
          <w:sz w:val="22"/>
        </w:rPr>
      </w:pPr>
      <w:r>
        <w:rPr>
          <w:sz w:val="22"/>
        </w:rPr>
        <w:t>The water meters shall be constructed of rugged bronze or thermoplastic</w:t>
      </w:r>
      <w:r>
        <w:rPr>
          <w:spacing w:val="-11"/>
          <w:sz w:val="22"/>
        </w:rPr>
        <w:t> </w:t>
      </w:r>
      <w:r>
        <w:rPr>
          <w:sz w:val="22"/>
        </w:rPr>
        <w:t>housing.</w:t>
      </w:r>
    </w:p>
    <w:p>
      <w:pPr>
        <w:pStyle w:val="ListParagraph"/>
        <w:numPr>
          <w:ilvl w:val="4"/>
          <w:numId w:val="6"/>
        </w:numPr>
        <w:tabs>
          <w:tab w:pos="1301" w:val="left" w:leader="none"/>
        </w:tabs>
        <w:spacing w:line="240" w:lineRule="auto" w:before="79" w:after="0"/>
        <w:ind w:left="1300" w:right="0" w:hanging="360"/>
        <w:jc w:val="left"/>
        <w:rPr>
          <w:sz w:val="22"/>
        </w:rPr>
      </w:pPr>
      <w:r>
        <w:rPr>
          <w:sz w:val="22"/>
        </w:rPr>
        <w:t>The water meters shall have a minimum accuracy of +/-</w:t>
      </w:r>
      <w:r>
        <w:rPr>
          <w:spacing w:val="-5"/>
          <w:sz w:val="22"/>
        </w:rPr>
        <w:t> </w:t>
      </w:r>
      <w:r>
        <w:rPr>
          <w:sz w:val="22"/>
        </w:rPr>
        <w:t>1.5%.</w:t>
      </w:r>
    </w:p>
    <w:p>
      <w:pPr>
        <w:pStyle w:val="ListParagraph"/>
        <w:numPr>
          <w:ilvl w:val="4"/>
          <w:numId w:val="6"/>
        </w:numPr>
        <w:tabs>
          <w:tab w:pos="1300" w:val="left" w:leader="none"/>
          <w:tab w:pos="1301" w:val="left" w:leader="none"/>
        </w:tabs>
        <w:spacing w:line="240" w:lineRule="auto" w:before="80" w:after="0"/>
        <w:ind w:left="1300" w:right="0" w:hanging="360"/>
        <w:jc w:val="left"/>
        <w:rPr>
          <w:sz w:val="22"/>
        </w:rPr>
      </w:pPr>
      <w:r>
        <w:rPr>
          <w:sz w:val="22"/>
        </w:rPr>
        <w:t>The water meters shall have repeatability of +/-</w:t>
      </w:r>
      <w:r>
        <w:rPr>
          <w:spacing w:val="-5"/>
          <w:sz w:val="22"/>
        </w:rPr>
        <w:t> </w:t>
      </w:r>
      <w:r>
        <w:rPr>
          <w:sz w:val="22"/>
        </w:rPr>
        <w:t>0.5%.</w:t>
      </w:r>
    </w:p>
    <w:p>
      <w:pPr>
        <w:pStyle w:val="ListParagraph"/>
        <w:numPr>
          <w:ilvl w:val="4"/>
          <w:numId w:val="6"/>
        </w:numPr>
        <w:tabs>
          <w:tab w:pos="1301" w:val="left" w:leader="none"/>
        </w:tabs>
        <w:spacing w:line="240" w:lineRule="auto" w:before="81" w:after="0"/>
        <w:ind w:left="1300" w:right="0" w:hanging="360"/>
        <w:jc w:val="left"/>
        <w:rPr>
          <w:sz w:val="22"/>
        </w:rPr>
      </w:pPr>
      <w:r>
        <w:rPr>
          <w:sz w:val="22"/>
        </w:rPr>
        <w:t>The water meters shall support a Maximum Operating Pressure of 150</w:t>
      </w:r>
      <w:r>
        <w:rPr>
          <w:spacing w:val="-5"/>
          <w:sz w:val="22"/>
        </w:rPr>
        <w:t> </w:t>
      </w:r>
      <w:r>
        <w:rPr>
          <w:sz w:val="22"/>
        </w:rPr>
        <w:t>psi.</w:t>
      </w:r>
    </w:p>
    <w:p>
      <w:pPr>
        <w:pStyle w:val="ListParagraph"/>
        <w:numPr>
          <w:ilvl w:val="4"/>
          <w:numId w:val="6"/>
        </w:numPr>
        <w:tabs>
          <w:tab w:pos="1301" w:val="left" w:leader="none"/>
        </w:tabs>
        <w:spacing w:line="240" w:lineRule="auto" w:before="79" w:after="0"/>
        <w:ind w:left="1300" w:right="0" w:hanging="360"/>
        <w:jc w:val="left"/>
        <w:rPr>
          <w:sz w:val="22"/>
        </w:rPr>
      </w:pPr>
      <w:r>
        <w:rPr>
          <w:sz w:val="22"/>
        </w:rPr>
        <w:t>Pulse output, if present, must be 2x, dry contact relay for consumption</w:t>
      </w:r>
      <w:r>
        <w:rPr>
          <w:spacing w:val="-7"/>
          <w:sz w:val="22"/>
        </w:rPr>
        <w:t> </w:t>
      </w:r>
      <w:r>
        <w:rPr>
          <w:sz w:val="22"/>
        </w:rPr>
        <w:t>values.</w:t>
      </w:r>
    </w:p>
    <w:p>
      <w:pPr>
        <w:pStyle w:val="ListParagraph"/>
        <w:numPr>
          <w:ilvl w:val="4"/>
          <w:numId w:val="6"/>
        </w:numPr>
        <w:tabs>
          <w:tab w:pos="1301" w:val="left" w:leader="none"/>
        </w:tabs>
        <w:spacing w:line="240" w:lineRule="auto" w:before="80" w:after="0"/>
        <w:ind w:left="1300" w:right="0" w:hanging="360"/>
        <w:jc w:val="left"/>
        <w:rPr>
          <w:sz w:val="22"/>
        </w:rPr>
      </w:pPr>
      <w:r>
        <w:rPr>
          <w:sz w:val="22"/>
        </w:rPr>
        <w:t>Pulse Transmitter, if present, shall</w:t>
      </w:r>
      <w:r>
        <w:rPr>
          <w:spacing w:val="2"/>
          <w:sz w:val="22"/>
        </w:rPr>
        <w:t> </w:t>
      </w:r>
      <w:r>
        <w:rPr>
          <w:sz w:val="22"/>
        </w:rPr>
        <w:t>have:</w:t>
      </w:r>
    </w:p>
    <w:p>
      <w:pPr>
        <w:pStyle w:val="ListParagraph"/>
        <w:numPr>
          <w:ilvl w:val="5"/>
          <w:numId w:val="6"/>
        </w:numPr>
        <w:tabs>
          <w:tab w:pos="2021" w:val="left" w:leader="none"/>
        </w:tabs>
        <w:spacing w:line="240" w:lineRule="auto" w:before="81" w:after="0"/>
        <w:ind w:left="2020" w:right="0" w:hanging="360"/>
        <w:jc w:val="left"/>
        <w:rPr>
          <w:sz w:val="22"/>
        </w:rPr>
      </w:pPr>
      <w:r>
        <w:rPr>
          <w:sz w:val="22"/>
        </w:rPr>
        <w:t>Six-digit, non-resettable, straight reading</w:t>
      </w:r>
      <w:r>
        <w:rPr>
          <w:spacing w:val="-4"/>
          <w:sz w:val="22"/>
        </w:rPr>
        <w:t> </w:t>
      </w:r>
      <w:r>
        <w:rPr>
          <w:sz w:val="22"/>
        </w:rPr>
        <w:t>odometer/totalizer.</w:t>
      </w:r>
    </w:p>
    <w:p>
      <w:pPr>
        <w:pStyle w:val="ListParagraph"/>
        <w:numPr>
          <w:ilvl w:val="5"/>
          <w:numId w:val="6"/>
        </w:numPr>
        <w:tabs>
          <w:tab w:pos="2021" w:val="left" w:leader="none"/>
        </w:tabs>
        <w:spacing w:line="240" w:lineRule="auto" w:before="81" w:after="0"/>
        <w:ind w:left="2020" w:right="0" w:hanging="360"/>
        <w:jc w:val="left"/>
        <w:rPr>
          <w:sz w:val="22"/>
        </w:rPr>
      </w:pPr>
      <w:r>
        <w:rPr>
          <w:sz w:val="22"/>
        </w:rPr>
        <w:t>360° test circle sweep</w:t>
      </w:r>
      <w:r>
        <w:rPr>
          <w:spacing w:val="-1"/>
          <w:sz w:val="22"/>
        </w:rPr>
        <w:t> </w:t>
      </w:r>
      <w:r>
        <w:rPr>
          <w:sz w:val="22"/>
        </w:rPr>
        <w:t>hand.</w:t>
      </w:r>
    </w:p>
    <w:p>
      <w:pPr>
        <w:pStyle w:val="ListParagraph"/>
        <w:numPr>
          <w:ilvl w:val="5"/>
          <w:numId w:val="6"/>
        </w:numPr>
        <w:tabs>
          <w:tab w:pos="2021" w:val="left" w:leader="none"/>
        </w:tabs>
        <w:spacing w:line="240" w:lineRule="auto" w:before="78" w:after="0"/>
        <w:ind w:left="2020" w:right="0" w:hanging="360"/>
        <w:jc w:val="left"/>
        <w:rPr>
          <w:sz w:val="22"/>
        </w:rPr>
      </w:pPr>
      <w:r>
        <w:rPr>
          <w:sz w:val="22"/>
        </w:rPr>
        <w:t>Flow finder to detect</w:t>
      </w:r>
      <w:r>
        <w:rPr>
          <w:spacing w:val="-5"/>
          <w:sz w:val="22"/>
        </w:rPr>
        <w:t> </w:t>
      </w:r>
      <w:r>
        <w:rPr>
          <w:sz w:val="22"/>
        </w:rPr>
        <w:t>leaks.</w:t>
      </w:r>
    </w:p>
    <w:p>
      <w:pPr>
        <w:spacing w:before="116"/>
        <w:ind w:left="580" w:right="0" w:firstLine="0"/>
        <w:jc w:val="left"/>
        <w:rPr>
          <w:b/>
          <w:sz w:val="22"/>
        </w:rPr>
      </w:pPr>
      <w:r>
        <w:rPr>
          <w:b/>
          <w:sz w:val="22"/>
        </w:rPr>
        <w:t>Chilled Water/Hot Water Energy Meter</w:t>
      </w:r>
    </w:p>
    <w:p>
      <w:pPr>
        <w:pStyle w:val="ListParagraph"/>
        <w:numPr>
          <w:ilvl w:val="0"/>
          <w:numId w:val="8"/>
        </w:numPr>
        <w:tabs>
          <w:tab w:pos="1301" w:val="left" w:leader="none"/>
        </w:tabs>
        <w:spacing w:line="240" w:lineRule="auto" w:before="160" w:after="0"/>
        <w:ind w:left="1300" w:right="0" w:hanging="360"/>
        <w:jc w:val="left"/>
        <w:rPr>
          <w:sz w:val="22"/>
        </w:rPr>
      </w:pPr>
      <w:r>
        <w:rPr>
          <w:sz w:val="22"/>
        </w:rPr>
        <w:t>The water meters shall be capable of measuring the variables listed in Section</w:t>
      </w:r>
      <w:r>
        <w:rPr>
          <w:spacing w:val="-9"/>
          <w:sz w:val="22"/>
        </w:rPr>
        <w:t> </w:t>
      </w:r>
      <w:hyperlink w:history="true" w:anchor="_bookmark29">
        <w:r>
          <w:rPr>
            <w:sz w:val="22"/>
          </w:rPr>
          <w:t>3.3.2</w:t>
        </w:r>
      </w:hyperlink>
      <w:r>
        <w:rPr>
          <w:sz w:val="22"/>
        </w:rPr>
        <w:t>.</w:t>
      </w:r>
    </w:p>
    <w:p>
      <w:pPr>
        <w:pStyle w:val="ListParagraph"/>
        <w:numPr>
          <w:ilvl w:val="0"/>
          <w:numId w:val="8"/>
        </w:numPr>
        <w:tabs>
          <w:tab w:pos="1301" w:val="left" w:leader="none"/>
        </w:tabs>
        <w:spacing w:line="244" w:lineRule="auto" w:before="119" w:after="0"/>
        <w:ind w:left="1300" w:right="1197" w:hanging="360"/>
        <w:jc w:val="left"/>
        <w:rPr>
          <w:sz w:val="22"/>
        </w:rPr>
      </w:pPr>
      <w:r>
        <w:rPr>
          <w:sz w:val="22"/>
        </w:rPr>
        <w:t>The water meters shall support capture of variables at the interval defined in Section </w:t>
      </w:r>
      <w:hyperlink w:history="true" w:anchor="_bookmark30">
        <w:r>
          <w:rPr>
            <w:sz w:val="22"/>
          </w:rPr>
          <w:t>3.3.3</w:t>
        </w:r>
      </w:hyperlink>
      <w:r>
        <w:rPr>
          <w:sz w:val="22"/>
        </w:rPr>
        <w:t>.</w:t>
      </w:r>
    </w:p>
    <w:p>
      <w:pPr>
        <w:pStyle w:val="ListParagraph"/>
        <w:numPr>
          <w:ilvl w:val="0"/>
          <w:numId w:val="8"/>
        </w:numPr>
        <w:tabs>
          <w:tab w:pos="1301" w:val="left" w:leader="none"/>
        </w:tabs>
        <w:spacing w:line="240" w:lineRule="auto" w:before="72" w:after="0"/>
        <w:ind w:left="1300" w:right="897" w:hanging="360"/>
        <w:jc w:val="left"/>
        <w:rPr>
          <w:sz w:val="22"/>
        </w:rPr>
      </w:pPr>
      <w:r>
        <w:rPr>
          <w:sz w:val="22"/>
        </w:rPr>
        <w:t>The water meters shall report serially over an RS-485 network using the Modbus (RTU) protocol.</w:t>
      </w:r>
    </w:p>
    <w:p>
      <w:pPr>
        <w:pStyle w:val="ListParagraph"/>
        <w:numPr>
          <w:ilvl w:val="0"/>
          <w:numId w:val="8"/>
        </w:numPr>
        <w:tabs>
          <w:tab w:pos="1301" w:val="left" w:leader="none"/>
        </w:tabs>
        <w:spacing w:line="240" w:lineRule="auto" w:before="83" w:after="0"/>
        <w:ind w:left="1300" w:right="0" w:hanging="360"/>
        <w:jc w:val="left"/>
        <w:rPr>
          <w:sz w:val="22"/>
        </w:rPr>
      </w:pPr>
      <w:r>
        <w:rPr>
          <w:sz w:val="22"/>
        </w:rPr>
        <w:t>The water meters shall be suitable for metering cold or hot</w:t>
      </w:r>
      <w:r>
        <w:rPr>
          <w:spacing w:val="-3"/>
          <w:sz w:val="22"/>
        </w:rPr>
        <w:t> </w:t>
      </w:r>
      <w:r>
        <w:rPr>
          <w:sz w:val="22"/>
        </w:rPr>
        <w:t>systems.</w:t>
      </w:r>
    </w:p>
    <w:p>
      <w:pPr>
        <w:pStyle w:val="ListParagraph"/>
        <w:numPr>
          <w:ilvl w:val="0"/>
          <w:numId w:val="8"/>
        </w:numPr>
        <w:tabs>
          <w:tab w:pos="1301" w:val="left" w:leader="none"/>
        </w:tabs>
        <w:spacing w:line="240" w:lineRule="auto" w:before="80" w:after="0"/>
        <w:ind w:left="1300" w:right="0" w:hanging="360"/>
        <w:jc w:val="left"/>
        <w:rPr>
          <w:sz w:val="22"/>
        </w:rPr>
      </w:pPr>
      <w:r>
        <w:rPr>
          <w:sz w:val="22"/>
        </w:rPr>
        <w:t>The water meters shall compute energy using flow and temperature</w:t>
      </w:r>
      <w:r>
        <w:rPr>
          <w:spacing w:val="-13"/>
          <w:sz w:val="22"/>
        </w:rPr>
        <w:t> </w:t>
      </w:r>
      <w:r>
        <w:rPr>
          <w:sz w:val="22"/>
        </w:rPr>
        <w:t>differential.</w:t>
      </w:r>
    </w:p>
    <w:p>
      <w:pPr>
        <w:pStyle w:val="ListParagraph"/>
        <w:numPr>
          <w:ilvl w:val="0"/>
          <w:numId w:val="8"/>
        </w:numPr>
        <w:tabs>
          <w:tab w:pos="1301" w:val="left" w:leader="none"/>
        </w:tabs>
        <w:spacing w:line="244" w:lineRule="auto" w:before="76" w:after="0"/>
        <w:ind w:left="1300" w:right="931" w:hanging="360"/>
        <w:jc w:val="left"/>
        <w:rPr>
          <w:sz w:val="22"/>
        </w:rPr>
      </w:pPr>
      <w:r>
        <w:rPr>
          <w:sz w:val="22"/>
        </w:rPr>
        <w:t>The water meters shall integrate the flow and temperature data to compute flow/energy rate and</w:t>
      </w:r>
      <w:r>
        <w:rPr>
          <w:spacing w:val="-4"/>
          <w:sz w:val="22"/>
        </w:rPr>
        <w:t> </w:t>
      </w:r>
      <w:r>
        <w:rPr>
          <w:sz w:val="22"/>
        </w:rPr>
        <w:t>total.</w:t>
      </w:r>
    </w:p>
    <w:p>
      <w:pPr>
        <w:pStyle w:val="ListParagraph"/>
        <w:numPr>
          <w:ilvl w:val="0"/>
          <w:numId w:val="8"/>
        </w:numPr>
        <w:tabs>
          <w:tab w:pos="1301" w:val="left" w:leader="none"/>
        </w:tabs>
        <w:spacing w:line="240" w:lineRule="auto" w:before="72" w:after="0"/>
        <w:ind w:left="1300" w:right="0" w:hanging="360"/>
        <w:jc w:val="left"/>
        <w:rPr>
          <w:sz w:val="22"/>
        </w:rPr>
      </w:pPr>
      <w:r>
        <w:rPr>
          <w:sz w:val="22"/>
        </w:rPr>
        <w:t>BTU System</w:t>
      </w:r>
      <w:r>
        <w:rPr>
          <w:spacing w:val="2"/>
          <w:sz w:val="22"/>
        </w:rPr>
        <w:t> </w:t>
      </w:r>
      <w:r>
        <w:rPr>
          <w:sz w:val="22"/>
        </w:rPr>
        <w:t>shall:</w:t>
      </w:r>
    </w:p>
    <w:p>
      <w:pPr>
        <w:pStyle w:val="ListParagraph"/>
        <w:numPr>
          <w:ilvl w:val="1"/>
          <w:numId w:val="8"/>
        </w:numPr>
        <w:tabs>
          <w:tab w:pos="2021" w:val="left" w:leader="none"/>
        </w:tabs>
        <w:spacing w:line="240" w:lineRule="auto" w:before="81" w:after="0"/>
        <w:ind w:left="2020" w:right="0" w:hanging="360"/>
        <w:jc w:val="left"/>
        <w:rPr>
          <w:sz w:val="22"/>
        </w:rPr>
      </w:pPr>
      <w:r>
        <w:rPr>
          <w:sz w:val="22"/>
        </w:rPr>
        <w:t>RTD meets IEC751 Class</w:t>
      </w:r>
      <w:r>
        <w:rPr>
          <w:spacing w:val="-7"/>
          <w:sz w:val="22"/>
        </w:rPr>
        <w:t> </w:t>
      </w:r>
      <w:r>
        <w:rPr>
          <w:sz w:val="22"/>
        </w:rPr>
        <w:t>B.</w:t>
      </w:r>
    </w:p>
    <w:p>
      <w:pPr>
        <w:pStyle w:val="ListParagraph"/>
        <w:numPr>
          <w:ilvl w:val="1"/>
          <w:numId w:val="8"/>
        </w:numPr>
        <w:tabs>
          <w:tab w:pos="2021" w:val="left" w:leader="none"/>
        </w:tabs>
        <w:spacing w:line="240" w:lineRule="auto" w:before="80" w:after="0"/>
        <w:ind w:left="2020" w:right="0" w:hanging="360"/>
        <w:jc w:val="left"/>
        <w:rPr>
          <w:sz w:val="22"/>
        </w:rPr>
      </w:pPr>
      <w:r>
        <w:rPr>
          <w:sz w:val="22"/>
        </w:rPr>
        <w:t>Electrical Inputs meet</w:t>
      </w:r>
      <w:r>
        <w:rPr>
          <w:spacing w:val="-2"/>
          <w:sz w:val="22"/>
        </w:rPr>
        <w:t> </w:t>
      </w:r>
      <w:r>
        <w:rPr>
          <w:sz w:val="22"/>
        </w:rPr>
        <w:t>RS-485.</w:t>
      </w:r>
    </w:p>
    <w:p>
      <w:pPr>
        <w:pStyle w:val="ListParagraph"/>
        <w:numPr>
          <w:ilvl w:val="0"/>
          <w:numId w:val="8"/>
        </w:numPr>
        <w:tabs>
          <w:tab w:pos="1301" w:val="left" w:leader="none"/>
        </w:tabs>
        <w:spacing w:line="240" w:lineRule="auto" w:before="81" w:after="0"/>
        <w:ind w:left="1300" w:right="0" w:hanging="360"/>
        <w:jc w:val="left"/>
        <w:rPr>
          <w:sz w:val="22"/>
        </w:rPr>
      </w:pPr>
      <w:r>
        <w:rPr>
          <w:sz w:val="22"/>
        </w:rPr>
        <w:t>The system shall operate within the pipe size range of the</w:t>
      </w:r>
      <w:r>
        <w:rPr>
          <w:spacing w:val="-8"/>
          <w:sz w:val="22"/>
        </w:rPr>
        <w:t> </w:t>
      </w:r>
      <w:r>
        <w:rPr>
          <w:sz w:val="22"/>
        </w:rPr>
        <w:t>site.</w:t>
      </w:r>
    </w:p>
    <w:p>
      <w:pPr>
        <w:pStyle w:val="ListParagraph"/>
        <w:numPr>
          <w:ilvl w:val="0"/>
          <w:numId w:val="8"/>
        </w:numPr>
        <w:tabs>
          <w:tab w:pos="1300" w:val="left" w:leader="none"/>
          <w:tab w:pos="1301" w:val="left" w:leader="none"/>
        </w:tabs>
        <w:spacing w:line="240" w:lineRule="auto" w:before="78" w:after="0"/>
        <w:ind w:left="1300" w:right="0" w:hanging="360"/>
        <w:jc w:val="left"/>
        <w:rPr>
          <w:sz w:val="22"/>
        </w:rPr>
      </w:pPr>
      <w:r>
        <w:rPr>
          <w:sz w:val="22"/>
        </w:rPr>
        <w:t>Tee shall be constructed from cast</w:t>
      </w:r>
      <w:r>
        <w:rPr>
          <w:spacing w:val="-6"/>
          <w:sz w:val="22"/>
        </w:rPr>
        <w:t> </w:t>
      </w:r>
      <w:r>
        <w:rPr>
          <w:sz w:val="22"/>
        </w:rPr>
        <w:t>bronze.</w:t>
      </w:r>
    </w:p>
    <w:p>
      <w:pPr>
        <w:pStyle w:val="ListParagraph"/>
        <w:numPr>
          <w:ilvl w:val="0"/>
          <w:numId w:val="8"/>
        </w:numPr>
        <w:tabs>
          <w:tab w:pos="1301" w:val="left" w:leader="none"/>
        </w:tabs>
        <w:spacing w:line="244" w:lineRule="auto" w:before="78" w:after="0"/>
        <w:ind w:left="1300" w:right="1248" w:hanging="360"/>
        <w:jc w:val="left"/>
        <w:rPr>
          <w:sz w:val="22"/>
        </w:rPr>
      </w:pPr>
      <w:r>
        <w:rPr>
          <w:sz w:val="22"/>
        </w:rPr>
        <w:t>Hot liquid sensor shall have continuous operating temperature of 40° to 260°F [4°</w:t>
      </w:r>
      <w:r>
        <w:rPr>
          <w:spacing w:val="-26"/>
          <w:sz w:val="22"/>
        </w:rPr>
        <w:t> </w:t>
      </w:r>
      <w:r>
        <w:rPr>
          <w:sz w:val="22"/>
        </w:rPr>
        <w:t>to 125°C].</w:t>
      </w:r>
    </w:p>
    <w:p>
      <w:pPr>
        <w:pStyle w:val="ListParagraph"/>
        <w:numPr>
          <w:ilvl w:val="0"/>
          <w:numId w:val="8"/>
        </w:numPr>
        <w:tabs>
          <w:tab w:pos="1301" w:val="left" w:leader="none"/>
        </w:tabs>
        <w:spacing w:line="244" w:lineRule="auto" w:before="70" w:after="0"/>
        <w:ind w:left="1300" w:right="762" w:hanging="360"/>
        <w:jc w:val="left"/>
        <w:rPr>
          <w:sz w:val="22"/>
        </w:rPr>
      </w:pPr>
      <w:r>
        <w:rPr>
          <w:sz w:val="22"/>
        </w:rPr>
        <w:t>Chilled liquid sensor shall have continuous operating temperature of -4° to 140°F [-20° to 60°C].</w:t>
      </w:r>
    </w:p>
    <w:p>
      <w:pPr>
        <w:pStyle w:val="ListParagraph"/>
        <w:numPr>
          <w:ilvl w:val="0"/>
          <w:numId w:val="8"/>
        </w:numPr>
        <w:tabs>
          <w:tab w:pos="1301" w:val="left" w:leader="none"/>
        </w:tabs>
        <w:spacing w:line="240" w:lineRule="auto" w:before="72" w:after="0"/>
        <w:ind w:left="1300" w:right="0" w:hanging="360"/>
        <w:jc w:val="left"/>
        <w:rPr>
          <w:sz w:val="22"/>
        </w:rPr>
      </w:pPr>
      <w:r>
        <w:rPr>
          <w:sz w:val="22"/>
        </w:rPr>
        <w:t>Outputs shall</w:t>
      </w:r>
      <w:r>
        <w:rPr>
          <w:spacing w:val="-2"/>
          <w:sz w:val="22"/>
        </w:rPr>
        <w:t> </w:t>
      </w:r>
      <w:r>
        <w:rPr>
          <w:sz w:val="22"/>
        </w:rPr>
        <w:t>accommodate:</w:t>
      </w:r>
    </w:p>
    <w:p>
      <w:pPr>
        <w:pStyle w:val="ListParagraph"/>
        <w:numPr>
          <w:ilvl w:val="1"/>
          <w:numId w:val="8"/>
        </w:numPr>
        <w:tabs>
          <w:tab w:pos="2021" w:val="left" w:leader="none"/>
        </w:tabs>
        <w:spacing w:line="240" w:lineRule="auto" w:before="79" w:after="0"/>
        <w:ind w:left="2020" w:right="827" w:hanging="360"/>
        <w:jc w:val="left"/>
        <w:rPr>
          <w:sz w:val="22"/>
        </w:rPr>
      </w:pPr>
      <w:r>
        <w:rPr>
          <w:sz w:val="22"/>
        </w:rPr>
        <w:t>Scaled pulse output. Solid state switch. Maximum frequency of scaled pulse varies based upon pulse width selected. Pulse width available is 10, 50, 150, 200, 250, and 500mS. Resulting frequency range is 0.01 Hz min. to 100 Hz</w:t>
      </w:r>
      <w:r>
        <w:rPr>
          <w:spacing w:val="-23"/>
          <w:sz w:val="22"/>
        </w:rPr>
        <w:t> </w:t>
      </w:r>
      <w:r>
        <w:rPr>
          <w:sz w:val="22"/>
        </w:rPr>
        <w:t>max.</w:t>
      </w:r>
    </w:p>
    <w:p>
      <w:pPr>
        <w:pStyle w:val="ListParagraph"/>
        <w:numPr>
          <w:ilvl w:val="1"/>
          <w:numId w:val="8"/>
        </w:numPr>
        <w:tabs>
          <w:tab w:pos="2021" w:val="left" w:leader="none"/>
        </w:tabs>
        <w:spacing w:line="240" w:lineRule="auto" w:before="81" w:after="0"/>
        <w:ind w:left="2020" w:right="824" w:hanging="360"/>
        <w:jc w:val="left"/>
        <w:rPr>
          <w:sz w:val="22"/>
        </w:rPr>
      </w:pPr>
      <w:r>
        <w:rPr>
          <w:sz w:val="22"/>
        </w:rPr>
        <w:t>Signal can travel up to 2000' (610 m) between flow sensor and connected</w:t>
      </w:r>
      <w:r>
        <w:rPr>
          <w:spacing w:val="-23"/>
          <w:sz w:val="22"/>
        </w:rPr>
        <w:t> </w:t>
      </w:r>
      <w:r>
        <w:rPr>
          <w:sz w:val="22"/>
        </w:rPr>
        <w:t>device depending on</w:t>
      </w:r>
      <w:r>
        <w:rPr>
          <w:spacing w:val="-1"/>
          <w:sz w:val="22"/>
        </w:rPr>
        <w:t> </w:t>
      </w:r>
      <w:r>
        <w:rPr>
          <w:sz w:val="22"/>
        </w:rPr>
        <w:t>cable.</w:t>
      </w:r>
    </w:p>
    <w:p>
      <w:pPr>
        <w:spacing w:after="0" w:line="240" w:lineRule="auto"/>
        <w:jc w:val="left"/>
        <w:rPr>
          <w:sz w:val="22"/>
        </w:rPr>
        <w:sectPr>
          <w:pgSz w:w="12240" w:h="15840"/>
          <w:pgMar w:header="724" w:footer="1020" w:top="1220" w:bottom="1220" w:left="860" w:right="680"/>
        </w:sectPr>
      </w:pPr>
    </w:p>
    <w:p>
      <w:pPr>
        <w:pStyle w:val="BodyText"/>
        <w:spacing w:before="8"/>
        <w:rPr>
          <w:sz w:val="10"/>
        </w:rPr>
      </w:pPr>
    </w:p>
    <w:p>
      <w:pPr>
        <w:pStyle w:val="ListParagraph"/>
        <w:numPr>
          <w:ilvl w:val="0"/>
          <w:numId w:val="8"/>
        </w:numPr>
        <w:tabs>
          <w:tab w:pos="1301" w:val="left" w:leader="none"/>
        </w:tabs>
        <w:spacing w:line="240" w:lineRule="auto" w:before="94" w:after="0"/>
        <w:ind w:left="1300" w:right="0" w:hanging="360"/>
        <w:jc w:val="left"/>
        <w:rPr>
          <w:sz w:val="22"/>
        </w:rPr>
      </w:pPr>
      <w:r>
        <w:rPr>
          <w:sz w:val="22"/>
        </w:rPr>
        <w:t>Standard flow measurement range shall be 0.6-6 MPS [1.97 to 19.69</w:t>
      </w:r>
      <w:r>
        <w:rPr>
          <w:spacing w:val="-17"/>
          <w:sz w:val="22"/>
        </w:rPr>
        <w:t> </w:t>
      </w:r>
      <w:r>
        <w:rPr>
          <w:sz w:val="22"/>
        </w:rPr>
        <w:t>FPS].</w:t>
      </w:r>
    </w:p>
    <w:p>
      <w:pPr>
        <w:pStyle w:val="ListParagraph"/>
        <w:numPr>
          <w:ilvl w:val="0"/>
          <w:numId w:val="8"/>
        </w:numPr>
        <w:tabs>
          <w:tab w:pos="1301" w:val="left" w:leader="none"/>
        </w:tabs>
        <w:spacing w:line="240" w:lineRule="auto" w:before="81" w:after="0"/>
        <w:ind w:left="1300" w:right="0" w:hanging="360"/>
        <w:jc w:val="left"/>
        <w:rPr>
          <w:sz w:val="22"/>
        </w:rPr>
      </w:pPr>
      <w:r>
        <w:rPr>
          <w:sz w:val="22"/>
        </w:rPr>
        <w:t>Low flow measurement range shall be 0.09-2.5 MPS [.295 to 8.2</w:t>
      </w:r>
      <w:r>
        <w:rPr>
          <w:spacing w:val="-12"/>
          <w:sz w:val="22"/>
        </w:rPr>
        <w:t> </w:t>
      </w:r>
      <w:r>
        <w:rPr>
          <w:sz w:val="22"/>
        </w:rPr>
        <w:t>FPS].</w:t>
      </w:r>
    </w:p>
    <w:p>
      <w:pPr>
        <w:pStyle w:val="ListParagraph"/>
        <w:numPr>
          <w:ilvl w:val="0"/>
          <w:numId w:val="8"/>
        </w:numPr>
        <w:tabs>
          <w:tab w:pos="1301" w:val="left" w:leader="none"/>
        </w:tabs>
        <w:spacing w:line="240" w:lineRule="auto" w:before="78" w:after="0"/>
        <w:ind w:left="1300" w:right="0" w:hanging="360"/>
        <w:jc w:val="left"/>
        <w:rPr>
          <w:sz w:val="22"/>
        </w:rPr>
      </w:pPr>
      <w:r>
        <w:rPr>
          <w:sz w:val="22"/>
        </w:rPr>
        <w:t>Accuracy shall be +/- 2% of full</w:t>
      </w:r>
      <w:r>
        <w:rPr>
          <w:spacing w:val="-4"/>
          <w:sz w:val="22"/>
        </w:rPr>
        <w:t> </w:t>
      </w:r>
      <w:r>
        <w:rPr>
          <w:sz w:val="22"/>
        </w:rPr>
        <w:t>scale.</w:t>
      </w:r>
    </w:p>
    <w:p>
      <w:pPr>
        <w:pStyle w:val="ListParagraph"/>
        <w:numPr>
          <w:ilvl w:val="0"/>
          <w:numId w:val="8"/>
        </w:numPr>
        <w:tabs>
          <w:tab w:pos="1301" w:val="left" w:leader="none"/>
        </w:tabs>
        <w:spacing w:line="240" w:lineRule="auto" w:before="81" w:after="0"/>
        <w:ind w:left="1300" w:right="0" w:hanging="360"/>
        <w:jc w:val="left"/>
        <w:rPr>
          <w:sz w:val="22"/>
        </w:rPr>
      </w:pPr>
      <w:r>
        <w:rPr>
          <w:sz w:val="22"/>
        </w:rPr>
        <w:t>Repeatability shall be +/- 0.5% of full</w:t>
      </w:r>
      <w:r>
        <w:rPr>
          <w:spacing w:val="-2"/>
          <w:sz w:val="22"/>
        </w:rPr>
        <w:t> </w:t>
      </w:r>
      <w:r>
        <w:rPr>
          <w:sz w:val="22"/>
        </w:rPr>
        <w:t>scale.</w:t>
      </w:r>
    </w:p>
    <w:p>
      <w:pPr>
        <w:pStyle w:val="ListParagraph"/>
        <w:numPr>
          <w:ilvl w:val="0"/>
          <w:numId w:val="8"/>
        </w:numPr>
        <w:tabs>
          <w:tab w:pos="1301" w:val="left" w:leader="none"/>
        </w:tabs>
        <w:spacing w:line="240" w:lineRule="auto" w:before="80" w:after="0"/>
        <w:ind w:left="1300" w:right="0" w:hanging="360"/>
        <w:jc w:val="left"/>
        <w:rPr>
          <w:sz w:val="22"/>
        </w:rPr>
      </w:pPr>
      <w:r>
        <w:rPr>
          <w:sz w:val="22"/>
        </w:rPr>
        <w:t>Shall be suitable for clean, homogenous, lower-viscosity liquids, including</w:t>
      </w:r>
      <w:r>
        <w:rPr>
          <w:spacing w:val="-9"/>
          <w:sz w:val="22"/>
        </w:rPr>
        <w:t> </w:t>
      </w:r>
      <w:r>
        <w:rPr>
          <w:sz w:val="22"/>
        </w:rPr>
        <w:t>glycols.</w:t>
      </w:r>
    </w:p>
    <w:p>
      <w:pPr>
        <w:pStyle w:val="ListParagraph"/>
        <w:numPr>
          <w:ilvl w:val="0"/>
          <w:numId w:val="8"/>
        </w:numPr>
        <w:tabs>
          <w:tab w:pos="1301" w:val="left" w:leader="none"/>
        </w:tabs>
        <w:spacing w:line="240" w:lineRule="auto" w:before="81" w:after="0"/>
        <w:ind w:left="1300" w:right="0" w:hanging="360"/>
        <w:jc w:val="left"/>
        <w:rPr>
          <w:sz w:val="22"/>
        </w:rPr>
      </w:pPr>
      <w:r>
        <w:rPr>
          <w:sz w:val="22"/>
        </w:rPr>
        <w:t>All meters shall be calibrated and tested in factory to an IEC 751 Class B</w:t>
      </w:r>
      <w:r>
        <w:rPr>
          <w:spacing w:val="-14"/>
          <w:sz w:val="22"/>
        </w:rPr>
        <w:t> </w:t>
      </w:r>
      <w:r>
        <w:rPr>
          <w:sz w:val="22"/>
        </w:rPr>
        <w:t>accuracy.</w:t>
      </w:r>
    </w:p>
    <w:p>
      <w:pPr>
        <w:spacing w:before="73"/>
        <w:ind w:left="580" w:right="0" w:firstLine="0"/>
        <w:jc w:val="left"/>
        <w:rPr>
          <w:b/>
          <w:sz w:val="22"/>
        </w:rPr>
      </w:pPr>
      <w:r>
        <w:rPr>
          <w:b/>
          <w:sz w:val="22"/>
        </w:rPr>
        <w:t>Line-Powered Flow Sensor</w:t>
      </w:r>
    </w:p>
    <w:p>
      <w:pPr>
        <w:pStyle w:val="ListParagraph"/>
        <w:numPr>
          <w:ilvl w:val="0"/>
          <w:numId w:val="9"/>
        </w:numPr>
        <w:tabs>
          <w:tab w:pos="1301" w:val="left" w:leader="none"/>
        </w:tabs>
        <w:spacing w:line="240" w:lineRule="auto" w:before="163" w:after="0"/>
        <w:ind w:left="1300" w:right="1165" w:hanging="360"/>
        <w:jc w:val="left"/>
        <w:rPr>
          <w:sz w:val="22"/>
        </w:rPr>
      </w:pPr>
      <w:r>
        <w:rPr>
          <w:sz w:val="22"/>
        </w:rPr>
        <w:t>Water meters installed shall be compatible with DAS Model A8812 (manufactured by Obvius, LLC.) capable transceivers or equivalent depending on the contract requirements in</w:t>
      </w:r>
      <w:r>
        <w:rPr>
          <w:spacing w:val="-3"/>
          <w:sz w:val="22"/>
        </w:rPr>
        <w:t> </w:t>
      </w:r>
      <w:r>
        <w:rPr>
          <w:sz w:val="22"/>
        </w:rPr>
        <w:t>place.</w:t>
      </w:r>
    </w:p>
    <w:p>
      <w:pPr>
        <w:pStyle w:val="ListParagraph"/>
        <w:numPr>
          <w:ilvl w:val="0"/>
          <w:numId w:val="9"/>
        </w:numPr>
        <w:tabs>
          <w:tab w:pos="1301" w:val="left" w:leader="none"/>
        </w:tabs>
        <w:spacing w:line="240" w:lineRule="auto" w:before="81" w:after="0"/>
        <w:ind w:left="1300" w:right="0" w:hanging="360"/>
        <w:jc w:val="left"/>
        <w:rPr>
          <w:sz w:val="22"/>
        </w:rPr>
      </w:pPr>
      <w:r>
        <w:rPr>
          <w:sz w:val="22"/>
        </w:rPr>
        <w:t>The water meters shall be capable of measuring the variables listed in Section</w:t>
      </w:r>
      <w:r>
        <w:rPr>
          <w:spacing w:val="-9"/>
          <w:sz w:val="22"/>
        </w:rPr>
        <w:t> </w:t>
      </w:r>
      <w:hyperlink w:history="true" w:anchor="_bookmark29">
        <w:r>
          <w:rPr>
            <w:sz w:val="22"/>
          </w:rPr>
          <w:t>3.3.2</w:t>
        </w:r>
      </w:hyperlink>
      <w:r>
        <w:rPr>
          <w:sz w:val="22"/>
        </w:rPr>
        <w:t>.</w:t>
      </w:r>
    </w:p>
    <w:p>
      <w:pPr>
        <w:pStyle w:val="ListParagraph"/>
        <w:numPr>
          <w:ilvl w:val="0"/>
          <w:numId w:val="9"/>
        </w:numPr>
        <w:tabs>
          <w:tab w:pos="1301" w:val="left" w:leader="none"/>
        </w:tabs>
        <w:spacing w:line="240" w:lineRule="auto" w:before="79" w:after="0"/>
        <w:ind w:left="1300" w:right="1197" w:hanging="360"/>
        <w:jc w:val="left"/>
        <w:rPr>
          <w:sz w:val="22"/>
        </w:rPr>
      </w:pPr>
      <w:r>
        <w:rPr>
          <w:sz w:val="22"/>
        </w:rPr>
        <w:t>The water meters shall support capture of variables at the interval defined in Section </w:t>
      </w:r>
      <w:hyperlink w:history="true" w:anchor="_bookmark30">
        <w:r>
          <w:rPr>
            <w:sz w:val="22"/>
          </w:rPr>
          <w:t>3.3.3</w:t>
        </w:r>
      </w:hyperlink>
      <w:r>
        <w:rPr>
          <w:sz w:val="22"/>
        </w:rPr>
        <w:t>.</w:t>
      </w:r>
    </w:p>
    <w:p>
      <w:pPr>
        <w:pStyle w:val="ListParagraph"/>
        <w:numPr>
          <w:ilvl w:val="0"/>
          <w:numId w:val="9"/>
        </w:numPr>
        <w:tabs>
          <w:tab w:pos="1301" w:val="left" w:leader="none"/>
        </w:tabs>
        <w:spacing w:line="240" w:lineRule="auto" w:before="120" w:after="0"/>
        <w:ind w:left="1300" w:right="1497" w:hanging="360"/>
        <w:jc w:val="left"/>
        <w:rPr>
          <w:sz w:val="22"/>
        </w:rPr>
      </w:pPr>
      <w:r>
        <w:rPr>
          <w:sz w:val="22"/>
        </w:rPr>
        <w:t>The meters shall report serially over an RS-485 network using the Modbus (RTU) protocol.</w:t>
      </w:r>
    </w:p>
    <w:p>
      <w:pPr>
        <w:pStyle w:val="ListParagraph"/>
        <w:numPr>
          <w:ilvl w:val="0"/>
          <w:numId w:val="9"/>
        </w:numPr>
        <w:tabs>
          <w:tab w:pos="1301" w:val="left" w:leader="none"/>
        </w:tabs>
        <w:spacing w:line="240" w:lineRule="auto" w:before="82" w:after="0"/>
        <w:ind w:left="1300" w:right="0" w:hanging="360"/>
        <w:jc w:val="left"/>
        <w:rPr>
          <w:sz w:val="22"/>
        </w:rPr>
      </w:pPr>
      <w:r>
        <w:rPr>
          <w:sz w:val="22"/>
        </w:rPr>
        <w:t>The system shall operate within the pipe size range of the</w:t>
      </w:r>
      <w:r>
        <w:rPr>
          <w:spacing w:val="-6"/>
          <w:sz w:val="22"/>
        </w:rPr>
        <w:t> </w:t>
      </w:r>
      <w:r>
        <w:rPr>
          <w:sz w:val="22"/>
        </w:rPr>
        <w:t>site.</w:t>
      </w:r>
    </w:p>
    <w:p>
      <w:pPr>
        <w:pStyle w:val="ListParagraph"/>
        <w:numPr>
          <w:ilvl w:val="0"/>
          <w:numId w:val="9"/>
        </w:numPr>
        <w:tabs>
          <w:tab w:pos="1301" w:val="left" w:leader="none"/>
        </w:tabs>
        <w:spacing w:line="240" w:lineRule="auto" w:before="78" w:after="0"/>
        <w:ind w:left="1300" w:right="821" w:hanging="360"/>
        <w:jc w:val="left"/>
        <w:rPr>
          <w:sz w:val="22"/>
        </w:rPr>
      </w:pPr>
      <w:r>
        <w:rPr>
          <w:sz w:val="22"/>
        </w:rPr>
        <w:t>Liquid sensor shall have continuous operating temperature suitable to the water and site conditions.</w:t>
      </w:r>
    </w:p>
    <w:p>
      <w:pPr>
        <w:pStyle w:val="ListParagraph"/>
        <w:numPr>
          <w:ilvl w:val="0"/>
          <w:numId w:val="9"/>
        </w:numPr>
        <w:tabs>
          <w:tab w:pos="1301" w:val="left" w:leader="none"/>
        </w:tabs>
        <w:spacing w:line="240" w:lineRule="auto" w:before="82" w:after="0"/>
        <w:ind w:left="1300" w:right="0" w:hanging="360"/>
        <w:jc w:val="left"/>
        <w:rPr>
          <w:sz w:val="22"/>
        </w:rPr>
      </w:pPr>
      <w:r>
        <w:rPr>
          <w:sz w:val="22"/>
        </w:rPr>
        <w:t>Line-Powered, Insert-style Impeller Flow Sensor, Liquid,</w:t>
      </w:r>
      <w:r>
        <w:rPr>
          <w:spacing w:val="-5"/>
          <w:sz w:val="22"/>
        </w:rPr>
        <w:t> </w:t>
      </w:r>
      <w:r>
        <w:rPr>
          <w:sz w:val="22"/>
        </w:rPr>
        <w:t>Single-Channel:</w:t>
      </w:r>
    </w:p>
    <w:p>
      <w:pPr>
        <w:pStyle w:val="ListParagraph"/>
        <w:numPr>
          <w:ilvl w:val="1"/>
          <w:numId w:val="9"/>
        </w:numPr>
        <w:tabs>
          <w:tab w:pos="2021" w:val="left" w:leader="none"/>
        </w:tabs>
        <w:spacing w:line="240" w:lineRule="auto" w:before="81" w:after="0"/>
        <w:ind w:left="2020" w:right="0" w:hanging="360"/>
        <w:jc w:val="left"/>
        <w:rPr>
          <w:sz w:val="22"/>
        </w:rPr>
      </w:pPr>
      <w:r>
        <w:rPr>
          <w:sz w:val="22"/>
        </w:rPr>
        <w:t>Sensor type shall be either direct insert or hot tap.</w:t>
      </w:r>
    </w:p>
    <w:p>
      <w:pPr>
        <w:pStyle w:val="ListParagraph"/>
        <w:numPr>
          <w:ilvl w:val="1"/>
          <w:numId w:val="9"/>
        </w:numPr>
        <w:tabs>
          <w:tab w:pos="2021" w:val="left" w:leader="none"/>
        </w:tabs>
        <w:spacing w:line="244" w:lineRule="auto" w:before="76" w:after="0"/>
        <w:ind w:left="2020" w:right="1435" w:hanging="360"/>
        <w:jc w:val="left"/>
        <w:rPr>
          <w:sz w:val="22"/>
        </w:rPr>
      </w:pPr>
      <w:r>
        <w:rPr>
          <w:sz w:val="22"/>
        </w:rPr>
        <w:t>Capable of fitting multiple pipe diameters within the specified range of pipe diameters at the</w:t>
      </w:r>
      <w:r>
        <w:rPr>
          <w:spacing w:val="-3"/>
          <w:sz w:val="22"/>
        </w:rPr>
        <w:t> </w:t>
      </w:r>
      <w:r>
        <w:rPr>
          <w:sz w:val="22"/>
        </w:rPr>
        <w:t>site.</w:t>
      </w:r>
    </w:p>
    <w:p>
      <w:pPr>
        <w:pStyle w:val="ListParagraph"/>
        <w:numPr>
          <w:ilvl w:val="1"/>
          <w:numId w:val="9"/>
        </w:numPr>
        <w:tabs>
          <w:tab w:pos="2021" w:val="left" w:leader="none"/>
        </w:tabs>
        <w:spacing w:line="244" w:lineRule="auto" w:before="70" w:after="0"/>
        <w:ind w:left="2020" w:right="851" w:hanging="360"/>
        <w:jc w:val="left"/>
        <w:rPr>
          <w:sz w:val="22"/>
        </w:rPr>
      </w:pPr>
      <w:r>
        <w:rPr>
          <w:sz w:val="22"/>
        </w:rPr>
        <w:t>Hot tap versions can be removed or reinstalled without removing sensor housing from the</w:t>
      </w:r>
      <w:r>
        <w:rPr>
          <w:spacing w:val="-2"/>
          <w:sz w:val="22"/>
        </w:rPr>
        <w:t> </w:t>
      </w:r>
      <w:r>
        <w:rPr>
          <w:sz w:val="22"/>
        </w:rPr>
        <w:t>piping.</w:t>
      </w:r>
    </w:p>
    <w:p>
      <w:pPr>
        <w:pStyle w:val="ListParagraph"/>
        <w:numPr>
          <w:ilvl w:val="0"/>
          <w:numId w:val="9"/>
        </w:numPr>
        <w:tabs>
          <w:tab w:pos="1301" w:val="left" w:leader="none"/>
        </w:tabs>
        <w:spacing w:line="240" w:lineRule="auto" w:before="72" w:after="0"/>
        <w:ind w:left="1300" w:right="0" w:hanging="360"/>
        <w:jc w:val="left"/>
        <w:rPr>
          <w:sz w:val="22"/>
        </w:rPr>
      </w:pPr>
      <w:r>
        <w:rPr>
          <w:sz w:val="22"/>
        </w:rPr>
        <w:t>The meter shall have the following System</w:t>
      </w:r>
      <w:r>
        <w:rPr>
          <w:spacing w:val="-6"/>
          <w:sz w:val="22"/>
        </w:rPr>
        <w:t> </w:t>
      </w:r>
      <w:r>
        <w:rPr>
          <w:sz w:val="22"/>
        </w:rPr>
        <w:t>Components:</w:t>
      </w:r>
    </w:p>
    <w:p>
      <w:pPr>
        <w:pStyle w:val="ListParagraph"/>
        <w:numPr>
          <w:ilvl w:val="1"/>
          <w:numId w:val="9"/>
        </w:numPr>
        <w:tabs>
          <w:tab w:pos="2021" w:val="left" w:leader="none"/>
        </w:tabs>
        <w:spacing w:line="240" w:lineRule="auto" w:before="121" w:after="0"/>
        <w:ind w:left="2020" w:right="0" w:hanging="360"/>
        <w:jc w:val="left"/>
        <w:rPr>
          <w:sz w:val="22"/>
        </w:rPr>
      </w:pPr>
      <w:r>
        <w:rPr>
          <w:sz w:val="22"/>
        </w:rPr>
        <w:t>Impeller Flow</w:t>
      </w:r>
      <w:r>
        <w:rPr>
          <w:spacing w:val="-3"/>
          <w:sz w:val="22"/>
        </w:rPr>
        <w:t> </w:t>
      </w:r>
      <w:r>
        <w:rPr>
          <w:sz w:val="22"/>
        </w:rPr>
        <w:t>Sensor.</w:t>
      </w:r>
    </w:p>
    <w:p>
      <w:pPr>
        <w:pStyle w:val="ListParagraph"/>
        <w:numPr>
          <w:ilvl w:val="1"/>
          <w:numId w:val="9"/>
        </w:numPr>
        <w:tabs>
          <w:tab w:pos="2021" w:val="left" w:leader="none"/>
        </w:tabs>
        <w:spacing w:line="240" w:lineRule="auto" w:before="81" w:after="0"/>
        <w:ind w:left="2020" w:right="0" w:hanging="360"/>
        <w:jc w:val="left"/>
        <w:rPr>
          <w:sz w:val="22"/>
        </w:rPr>
      </w:pPr>
      <w:r>
        <w:rPr>
          <w:sz w:val="22"/>
        </w:rPr>
        <w:t>Mounting</w:t>
      </w:r>
      <w:r>
        <w:rPr>
          <w:spacing w:val="1"/>
          <w:sz w:val="22"/>
        </w:rPr>
        <w:t> </w:t>
      </w:r>
      <w:r>
        <w:rPr>
          <w:sz w:val="22"/>
        </w:rPr>
        <w:t>Hardware.</w:t>
      </w:r>
    </w:p>
    <w:p>
      <w:pPr>
        <w:pStyle w:val="ListParagraph"/>
        <w:numPr>
          <w:ilvl w:val="1"/>
          <w:numId w:val="9"/>
        </w:numPr>
        <w:tabs>
          <w:tab w:pos="2021" w:val="left" w:leader="none"/>
        </w:tabs>
        <w:spacing w:line="240" w:lineRule="auto" w:before="78" w:after="0"/>
        <w:ind w:left="2020" w:right="0" w:hanging="360"/>
        <w:jc w:val="left"/>
        <w:rPr>
          <w:sz w:val="22"/>
        </w:rPr>
      </w:pPr>
      <w:r>
        <w:rPr>
          <w:sz w:val="22"/>
        </w:rPr>
        <w:t>Single-directional or Bi-directional versions.</w:t>
      </w:r>
    </w:p>
    <w:p>
      <w:pPr>
        <w:pStyle w:val="ListParagraph"/>
        <w:numPr>
          <w:ilvl w:val="1"/>
          <w:numId w:val="9"/>
        </w:numPr>
        <w:tabs>
          <w:tab w:pos="2021" w:val="left" w:leader="none"/>
        </w:tabs>
        <w:spacing w:line="240" w:lineRule="auto" w:before="81" w:after="0"/>
        <w:ind w:left="2020" w:right="0" w:hanging="360"/>
        <w:jc w:val="left"/>
        <w:rPr>
          <w:sz w:val="22"/>
        </w:rPr>
      </w:pPr>
      <w:r>
        <w:rPr>
          <w:sz w:val="22"/>
        </w:rPr>
        <w:t>Tap size shall be 1''</w:t>
      </w:r>
      <w:r>
        <w:rPr>
          <w:spacing w:val="-1"/>
          <w:sz w:val="22"/>
        </w:rPr>
        <w:t> </w:t>
      </w:r>
      <w:r>
        <w:rPr>
          <w:sz w:val="22"/>
        </w:rPr>
        <w:t>NPT.</w:t>
      </w:r>
    </w:p>
    <w:p>
      <w:pPr>
        <w:pStyle w:val="ListParagraph"/>
        <w:numPr>
          <w:ilvl w:val="1"/>
          <w:numId w:val="9"/>
        </w:numPr>
        <w:tabs>
          <w:tab w:pos="2021" w:val="left" w:leader="none"/>
        </w:tabs>
        <w:spacing w:line="240" w:lineRule="auto" w:before="78" w:after="0"/>
        <w:ind w:left="2020" w:right="767" w:hanging="360"/>
        <w:jc w:val="left"/>
        <w:rPr>
          <w:sz w:val="22"/>
        </w:rPr>
      </w:pPr>
      <w:r>
        <w:rPr>
          <w:sz w:val="22"/>
        </w:rPr>
        <w:t>Sensor material shall be constructed from 316 stainless steel or Brass, B16,</w:t>
      </w:r>
      <w:r>
        <w:rPr>
          <w:spacing w:val="-23"/>
          <w:sz w:val="22"/>
        </w:rPr>
        <w:t> </w:t>
      </w:r>
      <w:r>
        <w:rPr>
          <w:sz w:val="22"/>
        </w:rPr>
        <w:t>UNS C36000 (not available for hot tap</w:t>
      </w:r>
      <w:r>
        <w:rPr>
          <w:spacing w:val="-2"/>
          <w:sz w:val="22"/>
        </w:rPr>
        <w:t> </w:t>
      </w:r>
      <w:r>
        <w:rPr>
          <w:sz w:val="22"/>
        </w:rPr>
        <w:t>versions).</w:t>
      </w:r>
    </w:p>
    <w:p>
      <w:pPr>
        <w:pStyle w:val="ListParagraph"/>
        <w:numPr>
          <w:ilvl w:val="0"/>
          <w:numId w:val="9"/>
        </w:numPr>
        <w:tabs>
          <w:tab w:pos="1300" w:val="left" w:leader="none"/>
          <w:tab w:pos="1301" w:val="left" w:leader="none"/>
        </w:tabs>
        <w:spacing w:line="244" w:lineRule="auto" w:before="79" w:after="0"/>
        <w:ind w:left="1300" w:right="993" w:hanging="360"/>
        <w:jc w:val="left"/>
        <w:rPr>
          <w:sz w:val="22"/>
        </w:rPr>
      </w:pPr>
      <w:r>
        <w:rPr>
          <w:sz w:val="22"/>
        </w:rPr>
        <w:t>Pressure drop shall be 0.5 psi or less at 10ft/s for pipe diameters of 1.5'' (3.81 cm) and larger.</w:t>
      </w:r>
    </w:p>
    <w:p>
      <w:pPr>
        <w:pStyle w:val="ListParagraph"/>
        <w:numPr>
          <w:ilvl w:val="0"/>
          <w:numId w:val="9"/>
        </w:numPr>
        <w:tabs>
          <w:tab w:pos="1301" w:val="left" w:leader="none"/>
        </w:tabs>
        <w:spacing w:line="244" w:lineRule="auto" w:before="71" w:after="0"/>
        <w:ind w:left="1300" w:right="1653" w:hanging="360"/>
        <w:jc w:val="left"/>
        <w:rPr>
          <w:sz w:val="22"/>
        </w:rPr>
      </w:pPr>
      <w:r>
        <w:rPr>
          <w:sz w:val="22"/>
        </w:rPr>
        <w:t>Detection Technology: Unidirectional versions shall use non-magnetic detection technology; bidirectional versions shall use magnetic detection</w:t>
      </w:r>
      <w:r>
        <w:rPr>
          <w:spacing w:val="-14"/>
          <w:sz w:val="22"/>
        </w:rPr>
        <w:t> </w:t>
      </w:r>
      <w:r>
        <w:rPr>
          <w:sz w:val="22"/>
        </w:rPr>
        <w:t>technology.</w:t>
      </w:r>
    </w:p>
    <w:p>
      <w:pPr>
        <w:pStyle w:val="ListParagraph"/>
        <w:numPr>
          <w:ilvl w:val="0"/>
          <w:numId w:val="9"/>
        </w:numPr>
        <w:tabs>
          <w:tab w:pos="1301" w:val="left" w:leader="none"/>
        </w:tabs>
        <w:spacing w:line="240" w:lineRule="auto" w:before="71" w:after="0"/>
        <w:ind w:left="1300" w:right="0" w:hanging="360"/>
        <w:jc w:val="left"/>
        <w:rPr>
          <w:sz w:val="22"/>
        </w:rPr>
      </w:pPr>
      <w:r>
        <w:rPr>
          <w:sz w:val="22"/>
        </w:rPr>
        <w:t>Enclosure shall be NEMA 4X.</w:t>
      </w:r>
    </w:p>
    <w:p>
      <w:pPr>
        <w:pStyle w:val="ListParagraph"/>
        <w:numPr>
          <w:ilvl w:val="0"/>
          <w:numId w:val="9"/>
        </w:numPr>
        <w:tabs>
          <w:tab w:pos="1301" w:val="left" w:leader="none"/>
        </w:tabs>
        <w:spacing w:line="240" w:lineRule="auto" w:before="81" w:after="0"/>
        <w:ind w:left="1300" w:right="0" w:hanging="360"/>
        <w:jc w:val="left"/>
        <w:rPr>
          <w:sz w:val="22"/>
        </w:rPr>
      </w:pPr>
      <w:r>
        <w:rPr>
          <w:sz w:val="22"/>
        </w:rPr>
        <w:t>Sensor Performance:</w:t>
      </w:r>
    </w:p>
    <w:p>
      <w:pPr>
        <w:pStyle w:val="ListParagraph"/>
        <w:numPr>
          <w:ilvl w:val="1"/>
          <w:numId w:val="9"/>
        </w:numPr>
        <w:tabs>
          <w:tab w:pos="2021" w:val="left" w:leader="none"/>
        </w:tabs>
        <w:spacing w:line="240" w:lineRule="auto" w:before="81" w:after="0"/>
        <w:ind w:left="2020" w:right="0" w:hanging="360"/>
        <w:jc w:val="left"/>
        <w:rPr>
          <w:sz w:val="22"/>
        </w:rPr>
      </w:pPr>
      <w:r>
        <w:rPr>
          <w:sz w:val="22"/>
        </w:rPr>
        <w:t>Measuring range shall be 1 to 20 FPS (.30 to 6.1</w:t>
      </w:r>
      <w:r>
        <w:rPr>
          <w:spacing w:val="-9"/>
          <w:sz w:val="22"/>
        </w:rPr>
        <w:t> </w:t>
      </w:r>
      <w:r>
        <w:rPr>
          <w:sz w:val="22"/>
        </w:rPr>
        <w:t>MPS).</w:t>
      </w:r>
    </w:p>
    <w:p>
      <w:pPr>
        <w:pStyle w:val="ListParagraph"/>
        <w:numPr>
          <w:ilvl w:val="1"/>
          <w:numId w:val="9"/>
        </w:numPr>
        <w:tabs>
          <w:tab w:pos="2021" w:val="left" w:leader="none"/>
        </w:tabs>
        <w:spacing w:line="240" w:lineRule="auto" w:before="80" w:after="0"/>
        <w:ind w:left="2020" w:right="0" w:hanging="360"/>
        <w:jc w:val="left"/>
        <w:rPr>
          <w:sz w:val="22"/>
        </w:rPr>
      </w:pPr>
      <w:r>
        <w:rPr>
          <w:sz w:val="22"/>
        </w:rPr>
        <w:t>Accuracy shall be +/- 1% of full</w:t>
      </w:r>
      <w:r>
        <w:rPr>
          <w:spacing w:val="-4"/>
          <w:sz w:val="22"/>
        </w:rPr>
        <w:t> </w:t>
      </w:r>
      <w:r>
        <w:rPr>
          <w:sz w:val="22"/>
        </w:rPr>
        <w:t>scale.</w:t>
      </w:r>
    </w:p>
    <w:p>
      <w:pPr>
        <w:pStyle w:val="ListParagraph"/>
        <w:numPr>
          <w:ilvl w:val="1"/>
          <w:numId w:val="9"/>
        </w:numPr>
        <w:tabs>
          <w:tab w:pos="2021" w:val="left" w:leader="none"/>
        </w:tabs>
        <w:spacing w:line="240" w:lineRule="auto" w:before="78" w:after="0"/>
        <w:ind w:left="2020" w:right="0" w:hanging="360"/>
        <w:jc w:val="left"/>
        <w:rPr>
          <w:sz w:val="22"/>
        </w:rPr>
      </w:pPr>
      <w:r>
        <w:rPr>
          <w:sz w:val="22"/>
        </w:rPr>
        <w:t>Repeatability shall be 0.5% of full</w:t>
      </w:r>
      <w:r>
        <w:rPr>
          <w:spacing w:val="-3"/>
          <w:sz w:val="22"/>
        </w:rPr>
        <w:t> </w:t>
      </w:r>
      <w:r>
        <w:rPr>
          <w:sz w:val="22"/>
        </w:rPr>
        <w:t>scale</w:t>
      </w:r>
    </w:p>
    <w:p>
      <w:pPr>
        <w:spacing w:after="0" w:line="240" w:lineRule="auto"/>
        <w:jc w:val="left"/>
        <w:rPr>
          <w:sz w:val="22"/>
        </w:rPr>
        <w:sectPr>
          <w:pgSz w:w="12240" w:h="15840"/>
          <w:pgMar w:header="724" w:footer="1020" w:top="1220" w:bottom="1220" w:left="860" w:right="680"/>
        </w:sectPr>
      </w:pPr>
    </w:p>
    <w:p>
      <w:pPr>
        <w:pStyle w:val="BodyText"/>
        <w:spacing w:before="3"/>
        <w:rPr>
          <w:sz w:val="10"/>
        </w:rPr>
      </w:pPr>
    </w:p>
    <w:p>
      <w:pPr>
        <w:pStyle w:val="Heading3"/>
        <w:numPr>
          <w:ilvl w:val="2"/>
          <w:numId w:val="6"/>
        </w:numPr>
        <w:tabs>
          <w:tab w:pos="1300" w:val="left" w:leader="none"/>
          <w:tab w:pos="1301" w:val="left" w:leader="none"/>
        </w:tabs>
        <w:spacing w:line="240" w:lineRule="auto" w:before="94" w:after="0"/>
        <w:ind w:left="1300" w:right="0" w:hanging="720"/>
        <w:jc w:val="left"/>
      </w:pPr>
      <w:bookmarkStart w:name="_bookmark22" w:id="38"/>
      <w:bookmarkEnd w:id="38"/>
      <w:r>
        <w:rPr>
          <w:b w:val="0"/>
        </w:rPr>
      </w:r>
      <w:bookmarkStart w:name="_bookmark22" w:id="39"/>
      <w:bookmarkEnd w:id="39"/>
      <w:r>
        <w:rPr/>
        <w:t>D</w:t>
      </w:r>
      <w:r>
        <w:rPr/>
        <w:t>ata Acquisition</w:t>
      </w:r>
      <w:r>
        <w:rPr>
          <w:spacing w:val="2"/>
        </w:rPr>
        <w:t> </w:t>
      </w:r>
      <w:r>
        <w:rPr/>
        <w:t>Servers</w:t>
      </w:r>
    </w:p>
    <w:p>
      <w:pPr>
        <w:pStyle w:val="BodyText"/>
        <w:rPr>
          <w:b/>
          <w:sz w:val="21"/>
        </w:rPr>
      </w:pPr>
    </w:p>
    <w:p>
      <w:pPr>
        <w:pStyle w:val="Heading4"/>
        <w:numPr>
          <w:ilvl w:val="3"/>
          <w:numId w:val="6"/>
        </w:numPr>
        <w:tabs>
          <w:tab w:pos="1445" w:val="left" w:leader="none"/>
        </w:tabs>
        <w:spacing w:line="240" w:lineRule="auto" w:before="1" w:after="0"/>
        <w:ind w:left="1444" w:right="0" w:hanging="864"/>
        <w:jc w:val="left"/>
        <w:rPr>
          <w:i/>
        </w:rPr>
      </w:pPr>
      <w:r>
        <w:rPr>
          <w:i/>
        </w:rPr>
        <w:t>Introduction</w:t>
      </w:r>
    </w:p>
    <w:p>
      <w:pPr>
        <w:pStyle w:val="BodyText"/>
        <w:spacing w:line="276" w:lineRule="auto" w:before="121"/>
        <w:ind w:left="580" w:right="1858"/>
      </w:pPr>
      <w:r>
        <w:rPr/>
        <w:t>Functional requirements of the Data Acquisition Server are specified below. For DAS specifications, see </w:t>
      </w:r>
      <w:hyperlink w:history="true" w:anchor="_bookmark45">
        <w:r>
          <w:rPr/>
          <w:t>Appendix B</w:t>
        </w:r>
      </w:hyperlink>
      <w:r>
        <w:rPr/>
        <w:t>.</w:t>
      </w:r>
    </w:p>
    <w:p>
      <w:pPr>
        <w:pStyle w:val="BodyText"/>
        <w:spacing w:before="9"/>
        <w:rPr>
          <w:sz w:val="20"/>
        </w:rPr>
      </w:pPr>
    </w:p>
    <w:p>
      <w:pPr>
        <w:pStyle w:val="Heading4"/>
        <w:numPr>
          <w:ilvl w:val="3"/>
          <w:numId w:val="6"/>
        </w:numPr>
        <w:tabs>
          <w:tab w:pos="1445" w:val="left" w:leader="none"/>
        </w:tabs>
        <w:spacing w:line="240" w:lineRule="auto" w:before="0" w:after="0"/>
        <w:ind w:left="1444" w:right="0" w:hanging="864"/>
        <w:jc w:val="left"/>
        <w:rPr>
          <w:i/>
        </w:rPr>
      </w:pPr>
      <w:bookmarkStart w:name="_bookmark23" w:id="40"/>
      <w:bookmarkEnd w:id="40"/>
      <w:r>
        <w:rPr>
          <w:b w:val="0"/>
          <w:i w:val="0"/>
        </w:rPr>
      </w:r>
      <w:bookmarkStart w:name="_bookmark23" w:id="41"/>
      <w:bookmarkEnd w:id="41"/>
      <w:r>
        <w:rPr>
          <w:i/>
        </w:rPr>
        <w:t>D</w:t>
      </w:r>
      <w:r>
        <w:rPr>
          <w:i/>
        </w:rPr>
        <w:t>ata Acquisition Server</w:t>
      </w:r>
      <w:r>
        <w:rPr>
          <w:i/>
          <w:spacing w:val="2"/>
        </w:rPr>
        <w:t> </w:t>
      </w:r>
      <w:r>
        <w:rPr>
          <w:i/>
        </w:rPr>
        <w:t>Requirements</w:t>
      </w:r>
    </w:p>
    <w:p>
      <w:pPr>
        <w:pStyle w:val="ListParagraph"/>
        <w:numPr>
          <w:ilvl w:val="4"/>
          <w:numId w:val="6"/>
        </w:numPr>
        <w:tabs>
          <w:tab w:pos="1301" w:val="left" w:leader="none"/>
        </w:tabs>
        <w:spacing w:line="240" w:lineRule="auto" w:before="121" w:after="0"/>
        <w:ind w:left="1300" w:right="1430" w:hanging="360"/>
        <w:jc w:val="left"/>
        <w:rPr>
          <w:sz w:val="22"/>
        </w:rPr>
      </w:pPr>
      <w:r>
        <w:rPr>
          <w:sz w:val="22"/>
        </w:rPr>
        <w:t>The DAS shall be an Obvius AcquiSuite® Model A8812. No substitutions shall be permitted. See </w:t>
      </w:r>
      <w:hyperlink w:history="true" w:anchor="_bookmark47">
        <w:r>
          <w:rPr>
            <w:sz w:val="22"/>
          </w:rPr>
          <w:t>Appendix</w:t>
        </w:r>
        <w:r>
          <w:rPr>
            <w:spacing w:val="-2"/>
            <w:sz w:val="22"/>
          </w:rPr>
          <w:t> </w:t>
        </w:r>
        <w:r>
          <w:rPr>
            <w:sz w:val="22"/>
          </w:rPr>
          <w:t>D</w:t>
        </w:r>
      </w:hyperlink>
      <w:r>
        <w:rPr>
          <w:sz w:val="22"/>
        </w:rPr>
        <w:t>.</w:t>
      </w:r>
    </w:p>
    <w:p>
      <w:pPr>
        <w:pStyle w:val="ListParagraph"/>
        <w:numPr>
          <w:ilvl w:val="4"/>
          <w:numId w:val="6"/>
        </w:numPr>
        <w:tabs>
          <w:tab w:pos="1301" w:val="left" w:leader="none"/>
        </w:tabs>
        <w:spacing w:line="240" w:lineRule="auto" w:before="118" w:after="0"/>
        <w:ind w:left="1300" w:right="0" w:hanging="360"/>
        <w:jc w:val="left"/>
        <w:rPr>
          <w:sz w:val="22"/>
        </w:rPr>
      </w:pPr>
      <w:r>
        <w:rPr>
          <w:sz w:val="22"/>
        </w:rPr>
        <w:t>The DAS must be compatible with all new advanced metering</w:t>
      </w:r>
      <w:r>
        <w:rPr>
          <w:spacing w:val="-1"/>
          <w:sz w:val="22"/>
        </w:rPr>
        <w:t> </w:t>
      </w:r>
      <w:r>
        <w:rPr>
          <w:sz w:val="22"/>
        </w:rPr>
        <w:t>points.</w:t>
      </w:r>
    </w:p>
    <w:p>
      <w:pPr>
        <w:pStyle w:val="ListParagraph"/>
        <w:numPr>
          <w:ilvl w:val="4"/>
          <w:numId w:val="6"/>
        </w:numPr>
        <w:tabs>
          <w:tab w:pos="1301" w:val="left" w:leader="none"/>
        </w:tabs>
        <w:spacing w:line="240" w:lineRule="auto" w:before="122" w:after="0"/>
        <w:ind w:left="1300" w:right="1901" w:hanging="360"/>
        <w:jc w:val="left"/>
        <w:rPr>
          <w:sz w:val="22"/>
        </w:rPr>
      </w:pPr>
      <w:r>
        <w:rPr>
          <w:sz w:val="22"/>
        </w:rPr>
        <w:t>The DAS shall be a standalone wall-mounted device powered by a 120V wall transformer.</w:t>
      </w:r>
    </w:p>
    <w:p>
      <w:pPr>
        <w:pStyle w:val="ListParagraph"/>
        <w:numPr>
          <w:ilvl w:val="4"/>
          <w:numId w:val="6"/>
        </w:numPr>
        <w:tabs>
          <w:tab w:pos="1301" w:val="left" w:leader="none"/>
        </w:tabs>
        <w:spacing w:line="240" w:lineRule="auto" w:before="121" w:after="0"/>
        <w:ind w:left="1300" w:right="1091" w:hanging="360"/>
        <w:jc w:val="left"/>
        <w:rPr>
          <w:sz w:val="22"/>
        </w:rPr>
      </w:pPr>
      <w:r>
        <w:rPr>
          <w:sz w:val="22"/>
        </w:rPr>
        <w:t>The DAS shall accept up to 32 ModBus device inputs (or specified maximum from manufacturer’s recommendation) on the RS 485 serial input terminals. The DAS shall provide automatic recognition and configuration for ModBus power meters as well as other ModBus devices (see</w:t>
      </w:r>
      <w:r>
        <w:rPr>
          <w:spacing w:val="-1"/>
          <w:sz w:val="22"/>
        </w:rPr>
        <w:t> </w:t>
      </w:r>
      <w:r>
        <w:rPr>
          <w:sz w:val="22"/>
        </w:rPr>
        <w:t>below).</w:t>
      </w:r>
    </w:p>
    <w:p>
      <w:pPr>
        <w:pStyle w:val="ListParagraph"/>
        <w:numPr>
          <w:ilvl w:val="4"/>
          <w:numId w:val="6"/>
        </w:numPr>
        <w:tabs>
          <w:tab w:pos="1301" w:val="left" w:leader="none"/>
        </w:tabs>
        <w:spacing w:line="240" w:lineRule="auto" w:before="118" w:after="0"/>
        <w:ind w:left="1300" w:right="1487" w:hanging="360"/>
        <w:jc w:val="left"/>
        <w:rPr>
          <w:sz w:val="22"/>
        </w:rPr>
      </w:pPr>
      <w:r>
        <w:rPr>
          <w:sz w:val="22"/>
        </w:rPr>
        <w:t>The DAS shall accept up to 8 inputs directly. Each input shall be capable of</w:t>
      </w:r>
      <w:r>
        <w:rPr>
          <w:spacing w:val="-20"/>
          <w:sz w:val="22"/>
        </w:rPr>
        <w:t> </w:t>
      </w:r>
      <w:r>
        <w:rPr>
          <w:sz w:val="22"/>
        </w:rPr>
        <w:t>being configured for the</w:t>
      </w:r>
      <w:r>
        <w:rPr>
          <w:spacing w:val="-6"/>
          <w:sz w:val="22"/>
        </w:rPr>
        <w:t> </w:t>
      </w:r>
      <w:r>
        <w:rPr>
          <w:sz w:val="22"/>
        </w:rPr>
        <w:t>following:</w:t>
      </w:r>
    </w:p>
    <w:p>
      <w:pPr>
        <w:pStyle w:val="ListParagraph"/>
        <w:numPr>
          <w:ilvl w:val="5"/>
          <w:numId w:val="6"/>
        </w:numPr>
        <w:tabs>
          <w:tab w:pos="2021" w:val="left" w:leader="none"/>
        </w:tabs>
        <w:spacing w:line="240" w:lineRule="auto" w:before="121" w:after="0"/>
        <w:ind w:left="2020" w:right="0" w:hanging="360"/>
        <w:jc w:val="left"/>
        <w:rPr>
          <w:sz w:val="22"/>
        </w:rPr>
      </w:pPr>
      <w:r>
        <w:rPr>
          <w:sz w:val="22"/>
        </w:rPr>
        <w:t>0-10 V -</w:t>
      </w:r>
      <w:r>
        <w:rPr>
          <w:spacing w:val="-1"/>
          <w:sz w:val="22"/>
        </w:rPr>
        <w:t> </w:t>
      </w:r>
      <w:r>
        <w:rPr>
          <w:sz w:val="22"/>
        </w:rPr>
        <w:t>Min/Max/Ave/Instantaneous.</w:t>
      </w:r>
    </w:p>
    <w:p>
      <w:pPr>
        <w:pStyle w:val="ListParagraph"/>
        <w:numPr>
          <w:ilvl w:val="5"/>
          <w:numId w:val="6"/>
        </w:numPr>
        <w:tabs>
          <w:tab w:pos="2021" w:val="left" w:leader="none"/>
        </w:tabs>
        <w:spacing w:line="240" w:lineRule="auto" w:before="121" w:after="0"/>
        <w:ind w:left="2020" w:right="0" w:hanging="360"/>
        <w:jc w:val="left"/>
        <w:rPr>
          <w:sz w:val="22"/>
        </w:rPr>
      </w:pPr>
      <w:r>
        <w:rPr>
          <w:sz w:val="22"/>
        </w:rPr>
        <w:t>4-20 mA -</w:t>
      </w:r>
      <w:r>
        <w:rPr>
          <w:spacing w:val="-3"/>
          <w:sz w:val="22"/>
        </w:rPr>
        <w:t> </w:t>
      </w:r>
      <w:r>
        <w:rPr>
          <w:sz w:val="22"/>
        </w:rPr>
        <w:t>Min/Max/Ave/Instantaneous.</w:t>
      </w:r>
    </w:p>
    <w:p>
      <w:pPr>
        <w:pStyle w:val="ListParagraph"/>
        <w:numPr>
          <w:ilvl w:val="5"/>
          <w:numId w:val="6"/>
        </w:numPr>
        <w:tabs>
          <w:tab w:pos="2021" w:val="left" w:leader="none"/>
        </w:tabs>
        <w:spacing w:line="240" w:lineRule="auto" w:before="119" w:after="0"/>
        <w:ind w:left="2020" w:right="0" w:hanging="360"/>
        <w:jc w:val="left"/>
        <w:rPr>
          <w:sz w:val="22"/>
        </w:rPr>
      </w:pPr>
      <w:r>
        <w:rPr>
          <w:sz w:val="22"/>
        </w:rPr>
        <w:t>Pulse - Consumption,</w:t>
      </w:r>
      <w:r>
        <w:rPr>
          <w:spacing w:val="4"/>
          <w:sz w:val="22"/>
        </w:rPr>
        <w:t> </w:t>
      </w:r>
      <w:r>
        <w:rPr>
          <w:sz w:val="22"/>
        </w:rPr>
        <w:t>Rate.</w:t>
      </w:r>
    </w:p>
    <w:p>
      <w:pPr>
        <w:pStyle w:val="ListParagraph"/>
        <w:numPr>
          <w:ilvl w:val="5"/>
          <w:numId w:val="6"/>
        </w:numPr>
        <w:tabs>
          <w:tab w:pos="2021" w:val="left" w:leader="none"/>
        </w:tabs>
        <w:spacing w:line="240" w:lineRule="auto" w:before="119" w:after="0"/>
        <w:ind w:left="2020" w:right="0" w:hanging="360"/>
        <w:jc w:val="left"/>
        <w:rPr>
          <w:sz w:val="22"/>
        </w:rPr>
      </w:pPr>
      <w:r>
        <w:rPr>
          <w:sz w:val="22"/>
        </w:rPr>
        <w:t>Resistance - Min/Max/Ave/Instantaneous.</w:t>
      </w:r>
    </w:p>
    <w:p>
      <w:pPr>
        <w:pStyle w:val="ListParagraph"/>
        <w:numPr>
          <w:ilvl w:val="5"/>
          <w:numId w:val="6"/>
        </w:numPr>
        <w:tabs>
          <w:tab w:pos="2021" w:val="left" w:leader="none"/>
        </w:tabs>
        <w:spacing w:line="240" w:lineRule="auto" w:before="122" w:after="0"/>
        <w:ind w:left="2020" w:right="0" w:hanging="360"/>
        <w:jc w:val="left"/>
        <w:rPr>
          <w:sz w:val="22"/>
        </w:rPr>
      </w:pPr>
      <w:r>
        <w:rPr>
          <w:sz w:val="22"/>
        </w:rPr>
        <w:t>Runtime - Runtime,</w:t>
      </w:r>
      <w:r>
        <w:rPr>
          <w:spacing w:val="-1"/>
          <w:sz w:val="22"/>
        </w:rPr>
        <w:t> </w:t>
      </w:r>
      <w:r>
        <w:rPr>
          <w:sz w:val="22"/>
        </w:rPr>
        <w:t>Status.</w:t>
      </w:r>
    </w:p>
    <w:p>
      <w:pPr>
        <w:pStyle w:val="ListParagraph"/>
        <w:numPr>
          <w:ilvl w:val="4"/>
          <w:numId w:val="6"/>
        </w:numPr>
        <w:tabs>
          <w:tab w:pos="1301" w:val="left" w:leader="none"/>
        </w:tabs>
        <w:spacing w:line="240" w:lineRule="auto" w:before="119" w:after="0"/>
        <w:ind w:left="1300" w:right="0" w:hanging="360"/>
        <w:jc w:val="left"/>
        <w:rPr>
          <w:sz w:val="22"/>
        </w:rPr>
      </w:pPr>
      <w:r>
        <w:rPr>
          <w:sz w:val="22"/>
        </w:rPr>
        <w:t>The DAS shall provide automatic recognition and configuration of ModBus</w:t>
      </w:r>
      <w:r>
        <w:rPr>
          <w:spacing w:val="-7"/>
          <w:sz w:val="22"/>
        </w:rPr>
        <w:t> </w:t>
      </w:r>
      <w:r>
        <w:rPr>
          <w:sz w:val="22"/>
        </w:rPr>
        <w:t>devices.</w:t>
      </w:r>
    </w:p>
    <w:p>
      <w:pPr>
        <w:pStyle w:val="ListParagraph"/>
        <w:numPr>
          <w:ilvl w:val="4"/>
          <w:numId w:val="6"/>
        </w:numPr>
        <w:tabs>
          <w:tab w:pos="1301" w:val="left" w:leader="none"/>
        </w:tabs>
        <w:spacing w:line="240" w:lineRule="auto" w:before="121" w:after="0"/>
        <w:ind w:left="1300" w:right="1314" w:hanging="360"/>
        <w:jc w:val="left"/>
        <w:rPr>
          <w:sz w:val="22"/>
        </w:rPr>
      </w:pPr>
      <w:r>
        <w:rPr>
          <w:sz w:val="22"/>
        </w:rPr>
        <w:t>The DAS shall provide user interface via standard web browser using an integrated ethernet RJ45</w:t>
      </w:r>
      <w:r>
        <w:rPr>
          <w:spacing w:val="-1"/>
          <w:sz w:val="22"/>
        </w:rPr>
        <w:t> </w:t>
      </w:r>
      <w:r>
        <w:rPr>
          <w:sz w:val="22"/>
        </w:rPr>
        <w:t>jack.</w:t>
      </w:r>
    </w:p>
    <w:p>
      <w:pPr>
        <w:pStyle w:val="ListParagraph"/>
        <w:numPr>
          <w:ilvl w:val="4"/>
          <w:numId w:val="6"/>
        </w:numPr>
        <w:tabs>
          <w:tab w:pos="1301" w:val="left" w:leader="none"/>
        </w:tabs>
        <w:spacing w:line="240" w:lineRule="auto" w:before="119" w:after="0"/>
        <w:ind w:left="1300" w:right="1414" w:hanging="360"/>
        <w:jc w:val="left"/>
        <w:rPr>
          <w:sz w:val="22"/>
        </w:rPr>
      </w:pPr>
      <w:r>
        <w:rPr>
          <w:sz w:val="22"/>
        </w:rPr>
        <w:t>The DAS shall provide time stamping of measured values from all devices on</w:t>
      </w:r>
      <w:r>
        <w:rPr>
          <w:spacing w:val="-24"/>
          <w:sz w:val="22"/>
        </w:rPr>
        <w:t> </w:t>
      </w:r>
      <w:r>
        <w:rPr>
          <w:sz w:val="22"/>
        </w:rPr>
        <w:t>user selected intervals from 1 to 60</w:t>
      </w:r>
      <w:r>
        <w:rPr>
          <w:spacing w:val="-8"/>
          <w:sz w:val="22"/>
        </w:rPr>
        <w:t> </w:t>
      </w:r>
      <w:r>
        <w:rPr>
          <w:sz w:val="22"/>
        </w:rPr>
        <w:t>minutes.</w:t>
      </w:r>
    </w:p>
    <w:p>
      <w:pPr>
        <w:pStyle w:val="ListParagraph"/>
        <w:numPr>
          <w:ilvl w:val="4"/>
          <w:numId w:val="6"/>
        </w:numPr>
        <w:tabs>
          <w:tab w:pos="1300" w:val="left" w:leader="none"/>
          <w:tab w:pos="1301" w:val="left" w:leader="none"/>
        </w:tabs>
        <w:spacing w:line="240" w:lineRule="auto" w:before="120" w:after="0"/>
        <w:ind w:left="1300" w:right="0" w:hanging="360"/>
        <w:jc w:val="left"/>
        <w:rPr>
          <w:sz w:val="22"/>
        </w:rPr>
      </w:pPr>
      <w:r>
        <w:rPr>
          <w:sz w:val="22"/>
        </w:rPr>
        <w:t>The DAS shall be capable of creating virtual meters and log from the virtual</w:t>
      </w:r>
      <w:r>
        <w:rPr>
          <w:spacing w:val="-16"/>
          <w:sz w:val="22"/>
        </w:rPr>
        <w:t> </w:t>
      </w:r>
      <w:r>
        <w:rPr>
          <w:sz w:val="22"/>
        </w:rPr>
        <w:t>meter.</w:t>
      </w:r>
    </w:p>
    <w:p>
      <w:pPr>
        <w:pStyle w:val="ListParagraph"/>
        <w:numPr>
          <w:ilvl w:val="4"/>
          <w:numId w:val="6"/>
        </w:numPr>
        <w:tabs>
          <w:tab w:pos="1301" w:val="left" w:leader="none"/>
        </w:tabs>
        <w:spacing w:line="240" w:lineRule="auto" w:before="121" w:after="0"/>
        <w:ind w:left="1300" w:right="982" w:hanging="360"/>
        <w:jc w:val="left"/>
        <w:rPr>
          <w:sz w:val="22"/>
        </w:rPr>
      </w:pPr>
      <w:r>
        <w:rPr>
          <w:sz w:val="22"/>
        </w:rPr>
        <w:t>The DAS shall provide alarm set points for all measured values including the option for either high/low or</w:t>
      </w:r>
      <w:r>
        <w:rPr>
          <w:spacing w:val="-2"/>
          <w:sz w:val="22"/>
        </w:rPr>
        <w:t> </w:t>
      </w:r>
      <w:r>
        <w:rPr>
          <w:sz w:val="22"/>
        </w:rPr>
        <w:t>warning/alarm.</w:t>
      </w:r>
    </w:p>
    <w:p>
      <w:pPr>
        <w:pStyle w:val="ListParagraph"/>
        <w:numPr>
          <w:ilvl w:val="4"/>
          <w:numId w:val="6"/>
        </w:numPr>
        <w:tabs>
          <w:tab w:pos="1301" w:val="left" w:leader="none"/>
        </w:tabs>
        <w:spacing w:line="242" w:lineRule="auto" w:before="118" w:after="0"/>
        <w:ind w:left="1300" w:right="1458" w:hanging="360"/>
        <w:jc w:val="left"/>
        <w:rPr>
          <w:sz w:val="22"/>
        </w:rPr>
      </w:pPr>
      <w:r>
        <w:rPr>
          <w:sz w:val="22"/>
        </w:rPr>
        <w:t>The DAS shall be capable of using LAN connections (static IP or DHCP), external telephone modem or external cellular modem (GSM) for data</w:t>
      </w:r>
      <w:r>
        <w:rPr>
          <w:spacing w:val="-5"/>
          <w:sz w:val="22"/>
        </w:rPr>
        <w:t> </w:t>
      </w:r>
      <w:r>
        <w:rPr>
          <w:sz w:val="22"/>
        </w:rPr>
        <w:t>upload.</w:t>
      </w:r>
    </w:p>
    <w:p>
      <w:pPr>
        <w:pStyle w:val="ListParagraph"/>
        <w:numPr>
          <w:ilvl w:val="4"/>
          <w:numId w:val="6"/>
        </w:numPr>
        <w:tabs>
          <w:tab w:pos="1301" w:val="left" w:leader="none"/>
        </w:tabs>
        <w:spacing w:line="240" w:lineRule="auto" w:before="116" w:after="0"/>
        <w:ind w:left="1300" w:right="0" w:hanging="360"/>
        <w:jc w:val="left"/>
        <w:rPr>
          <w:sz w:val="22"/>
        </w:rPr>
      </w:pPr>
      <w:r>
        <w:rPr>
          <w:sz w:val="22"/>
        </w:rPr>
        <w:t>The DAS shall provide data in standard delimited text form</w:t>
      </w:r>
      <w:r>
        <w:rPr>
          <w:spacing w:val="-9"/>
          <w:sz w:val="22"/>
        </w:rPr>
        <w:t> </w:t>
      </w:r>
      <w:r>
        <w:rPr>
          <w:sz w:val="22"/>
        </w:rPr>
        <w:t>(.txt).</w:t>
      </w:r>
    </w:p>
    <w:p>
      <w:pPr>
        <w:pStyle w:val="ListParagraph"/>
        <w:numPr>
          <w:ilvl w:val="4"/>
          <w:numId w:val="6"/>
        </w:numPr>
        <w:tabs>
          <w:tab w:pos="1301" w:val="left" w:leader="none"/>
        </w:tabs>
        <w:spacing w:line="240" w:lineRule="auto" w:before="122" w:after="0"/>
        <w:ind w:left="1300" w:right="0" w:hanging="360"/>
        <w:jc w:val="left"/>
        <w:rPr>
          <w:sz w:val="22"/>
        </w:rPr>
      </w:pPr>
      <w:r>
        <w:rPr>
          <w:sz w:val="22"/>
        </w:rPr>
        <w:t>The DAS shall provide the option for retrieving data using</w:t>
      </w:r>
      <w:r>
        <w:rPr>
          <w:spacing w:val="-8"/>
          <w:sz w:val="22"/>
        </w:rPr>
        <w:t> </w:t>
      </w:r>
      <w:r>
        <w:rPr>
          <w:sz w:val="22"/>
        </w:rPr>
        <w:t>XML.</w:t>
      </w:r>
    </w:p>
    <w:p>
      <w:pPr>
        <w:pStyle w:val="ListParagraph"/>
        <w:numPr>
          <w:ilvl w:val="4"/>
          <w:numId w:val="6"/>
        </w:numPr>
        <w:tabs>
          <w:tab w:pos="1301" w:val="left" w:leader="none"/>
        </w:tabs>
        <w:spacing w:line="240" w:lineRule="auto" w:before="119" w:after="0"/>
        <w:ind w:left="1300" w:right="1362" w:hanging="360"/>
        <w:jc w:val="left"/>
        <w:rPr>
          <w:sz w:val="22"/>
        </w:rPr>
      </w:pPr>
      <w:r>
        <w:rPr>
          <w:sz w:val="22"/>
        </w:rPr>
        <w:t>Data uploads shall be either push or pull at the option of the user, on user selected intervals.</w:t>
      </w:r>
    </w:p>
    <w:p>
      <w:pPr>
        <w:pStyle w:val="ListParagraph"/>
        <w:numPr>
          <w:ilvl w:val="4"/>
          <w:numId w:val="6"/>
        </w:numPr>
        <w:tabs>
          <w:tab w:pos="1301" w:val="left" w:leader="none"/>
        </w:tabs>
        <w:spacing w:line="240" w:lineRule="auto" w:before="120" w:after="0"/>
        <w:ind w:left="1300" w:right="0" w:hanging="360"/>
        <w:jc w:val="left"/>
        <w:rPr>
          <w:sz w:val="22"/>
        </w:rPr>
      </w:pPr>
      <w:r>
        <w:rPr>
          <w:sz w:val="22"/>
        </w:rPr>
        <w:t>The DAS shall be capable of (4) upload</w:t>
      </w:r>
      <w:r>
        <w:rPr>
          <w:spacing w:val="-2"/>
          <w:sz w:val="22"/>
        </w:rPr>
        <w:t> </w:t>
      </w:r>
      <w:r>
        <w:rPr>
          <w:sz w:val="22"/>
        </w:rPr>
        <w:t>channels.</w:t>
      </w:r>
    </w:p>
    <w:p>
      <w:pPr>
        <w:pStyle w:val="ListParagraph"/>
        <w:numPr>
          <w:ilvl w:val="4"/>
          <w:numId w:val="6"/>
        </w:numPr>
        <w:tabs>
          <w:tab w:pos="1301" w:val="left" w:leader="none"/>
        </w:tabs>
        <w:spacing w:line="240" w:lineRule="auto" w:before="119" w:after="0"/>
        <w:ind w:left="1300" w:right="0" w:hanging="360"/>
        <w:jc w:val="left"/>
        <w:rPr>
          <w:sz w:val="22"/>
        </w:rPr>
      </w:pPr>
      <w:r>
        <w:rPr>
          <w:sz w:val="22"/>
        </w:rPr>
        <w:t>The DAS shall store all recorded variables in non-volatile</w:t>
      </w:r>
      <w:r>
        <w:rPr>
          <w:spacing w:val="-7"/>
          <w:sz w:val="22"/>
        </w:rPr>
        <w:t> </w:t>
      </w:r>
      <w:r>
        <w:rPr>
          <w:sz w:val="22"/>
        </w:rPr>
        <w:t>memory.</w:t>
      </w:r>
    </w:p>
    <w:p>
      <w:pPr>
        <w:spacing w:after="0" w:line="240" w:lineRule="auto"/>
        <w:jc w:val="left"/>
        <w:rPr>
          <w:sz w:val="22"/>
        </w:rPr>
        <w:sectPr>
          <w:pgSz w:w="12240" w:h="15840"/>
          <w:pgMar w:header="724" w:footer="1020" w:top="1220" w:bottom="1220" w:left="860" w:right="680"/>
        </w:sectPr>
      </w:pPr>
    </w:p>
    <w:p>
      <w:pPr>
        <w:pStyle w:val="BodyText"/>
        <w:spacing w:before="6"/>
        <w:rPr>
          <w:sz w:val="10"/>
        </w:rPr>
      </w:pPr>
    </w:p>
    <w:p>
      <w:pPr>
        <w:pStyle w:val="ListParagraph"/>
        <w:numPr>
          <w:ilvl w:val="4"/>
          <w:numId w:val="6"/>
        </w:numPr>
        <w:tabs>
          <w:tab w:pos="1301" w:val="left" w:leader="none"/>
        </w:tabs>
        <w:spacing w:line="240" w:lineRule="auto" w:before="94" w:after="0"/>
        <w:ind w:left="1300" w:right="759" w:hanging="360"/>
        <w:jc w:val="left"/>
        <w:rPr>
          <w:sz w:val="22"/>
        </w:rPr>
      </w:pPr>
      <w:r>
        <w:rPr>
          <w:sz w:val="22"/>
        </w:rPr>
        <w:t>The DAS shall function as a gateway device, using ModBus TCP to retrieve specific data from connected devices as required and BACnet</w:t>
      </w:r>
      <w:r>
        <w:rPr>
          <w:spacing w:val="-2"/>
          <w:sz w:val="22"/>
        </w:rPr>
        <w:t> </w:t>
      </w:r>
      <w:r>
        <w:rPr>
          <w:sz w:val="22"/>
        </w:rPr>
        <w:t>IP.</w:t>
      </w:r>
    </w:p>
    <w:p>
      <w:pPr>
        <w:pStyle w:val="ListParagraph"/>
        <w:numPr>
          <w:ilvl w:val="4"/>
          <w:numId w:val="6"/>
        </w:numPr>
        <w:tabs>
          <w:tab w:pos="1301" w:val="left" w:leader="none"/>
        </w:tabs>
        <w:spacing w:line="240" w:lineRule="auto" w:before="120" w:after="0"/>
        <w:ind w:left="1300" w:right="886" w:hanging="360"/>
        <w:jc w:val="left"/>
        <w:rPr>
          <w:sz w:val="22"/>
        </w:rPr>
      </w:pPr>
      <w:r>
        <w:rPr>
          <w:sz w:val="22"/>
        </w:rPr>
        <w:t>The DAS shall have remote access feature capability for remote configuration, firmware updates, and modifications to upload channels, and other</w:t>
      </w:r>
      <w:r>
        <w:rPr>
          <w:spacing w:val="-4"/>
          <w:sz w:val="22"/>
        </w:rPr>
        <w:t> </w:t>
      </w:r>
      <w:r>
        <w:rPr>
          <w:sz w:val="22"/>
        </w:rPr>
        <w:t>settings.</w:t>
      </w:r>
    </w:p>
    <w:p>
      <w:pPr>
        <w:pStyle w:val="BodyText"/>
        <w:spacing w:before="8"/>
        <w:rPr>
          <w:sz w:val="20"/>
        </w:rPr>
      </w:pPr>
    </w:p>
    <w:p>
      <w:pPr>
        <w:pStyle w:val="Heading3"/>
        <w:numPr>
          <w:ilvl w:val="2"/>
          <w:numId w:val="6"/>
        </w:numPr>
        <w:tabs>
          <w:tab w:pos="1300" w:val="left" w:leader="none"/>
          <w:tab w:pos="1301" w:val="left" w:leader="none"/>
        </w:tabs>
        <w:spacing w:line="240" w:lineRule="auto" w:before="0" w:after="0"/>
        <w:ind w:left="1300" w:right="0" w:hanging="720"/>
        <w:jc w:val="left"/>
      </w:pPr>
      <w:bookmarkStart w:name="_bookmark24" w:id="42"/>
      <w:bookmarkEnd w:id="42"/>
      <w:r>
        <w:rPr>
          <w:b w:val="0"/>
        </w:rPr>
      </w:r>
      <w:bookmarkStart w:name="_bookmark24" w:id="43"/>
      <w:bookmarkEnd w:id="43"/>
      <w:r>
        <w:rPr/>
        <w:t>T</w:t>
      </w:r>
      <w:r>
        <w:rPr/>
        <w:t>ransceivers</w:t>
      </w:r>
    </w:p>
    <w:p>
      <w:pPr>
        <w:pStyle w:val="BodyText"/>
        <w:rPr>
          <w:b/>
          <w:sz w:val="21"/>
        </w:rPr>
      </w:pPr>
    </w:p>
    <w:p>
      <w:pPr>
        <w:pStyle w:val="Heading4"/>
        <w:numPr>
          <w:ilvl w:val="3"/>
          <w:numId w:val="6"/>
        </w:numPr>
        <w:tabs>
          <w:tab w:pos="1445" w:val="left" w:leader="none"/>
        </w:tabs>
        <w:spacing w:line="240" w:lineRule="auto" w:before="0" w:after="0"/>
        <w:ind w:left="1444" w:right="0" w:hanging="864"/>
        <w:jc w:val="left"/>
        <w:rPr>
          <w:i/>
        </w:rPr>
      </w:pPr>
      <w:r>
        <w:rPr>
          <w:i/>
        </w:rPr>
        <w:t>Introduction</w:t>
      </w:r>
    </w:p>
    <w:p>
      <w:pPr>
        <w:pStyle w:val="BodyText"/>
        <w:spacing w:line="278" w:lineRule="auto" w:before="119"/>
        <w:ind w:left="580" w:right="1797"/>
      </w:pPr>
      <w:r>
        <w:rPr/>
        <w:t>Functional requirements of metering transceivers are specified below. For transceiver (Modhopper) specifications, see </w:t>
      </w:r>
      <w:hyperlink w:history="true" w:anchor="_bookmark46">
        <w:r>
          <w:rPr/>
          <w:t>Appendix C</w:t>
        </w:r>
      </w:hyperlink>
      <w:r>
        <w:rPr/>
        <w:t>.</w:t>
      </w:r>
    </w:p>
    <w:p>
      <w:pPr>
        <w:pStyle w:val="BodyText"/>
        <w:spacing w:before="7"/>
        <w:rPr>
          <w:sz w:val="20"/>
        </w:rPr>
      </w:pPr>
    </w:p>
    <w:p>
      <w:pPr>
        <w:pStyle w:val="Heading4"/>
        <w:numPr>
          <w:ilvl w:val="3"/>
          <w:numId w:val="6"/>
        </w:numPr>
        <w:tabs>
          <w:tab w:pos="1445" w:val="left" w:leader="none"/>
        </w:tabs>
        <w:spacing w:line="240" w:lineRule="auto" w:before="0" w:after="0"/>
        <w:ind w:left="1444" w:right="0" w:hanging="864"/>
        <w:jc w:val="left"/>
        <w:rPr>
          <w:i/>
        </w:rPr>
      </w:pPr>
      <w:r>
        <w:rPr>
          <w:i/>
        </w:rPr>
        <w:t>Transceiver</w:t>
      </w:r>
      <w:r>
        <w:rPr>
          <w:i/>
          <w:spacing w:val="-2"/>
        </w:rPr>
        <w:t> </w:t>
      </w:r>
      <w:r>
        <w:rPr>
          <w:i/>
        </w:rPr>
        <w:t>Requirements</w:t>
      </w:r>
    </w:p>
    <w:p>
      <w:pPr>
        <w:pStyle w:val="ListParagraph"/>
        <w:numPr>
          <w:ilvl w:val="4"/>
          <w:numId w:val="6"/>
        </w:numPr>
        <w:tabs>
          <w:tab w:pos="1301" w:val="left" w:leader="none"/>
        </w:tabs>
        <w:spacing w:line="240" w:lineRule="auto" w:before="119" w:after="0"/>
        <w:ind w:left="1300" w:right="0" w:hanging="360"/>
        <w:jc w:val="left"/>
        <w:rPr>
          <w:sz w:val="22"/>
        </w:rPr>
      </w:pPr>
      <w:r>
        <w:rPr>
          <w:sz w:val="22"/>
        </w:rPr>
        <w:t>The wireless MODBUS/Pulse Transceiver shall be a ModHopper R9120-5 or</w:t>
      </w:r>
      <w:r>
        <w:rPr>
          <w:spacing w:val="-13"/>
          <w:sz w:val="22"/>
        </w:rPr>
        <w:t> </w:t>
      </w:r>
      <w:r>
        <w:rPr>
          <w:sz w:val="22"/>
        </w:rPr>
        <w:t>equivalent.</w:t>
      </w:r>
    </w:p>
    <w:p>
      <w:pPr>
        <w:pStyle w:val="ListParagraph"/>
        <w:numPr>
          <w:ilvl w:val="4"/>
          <w:numId w:val="6"/>
        </w:numPr>
        <w:tabs>
          <w:tab w:pos="1301" w:val="left" w:leader="none"/>
        </w:tabs>
        <w:spacing w:line="240" w:lineRule="auto" w:before="122" w:after="0"/>
        <w:ind w:left="1300" w:right="1277" w:hanging="360"/>
        <w:jc w:val="left"/>
        <w:rPr>
          <w:sz w:val="22"/>
        </w:rPr>
      </w:pPr>
      <w:r>
        <w:rPr>
          <w:sz w:val="22"/>
        </w:rPr>
        <w:t>The transceiver shall be a standalone wall-mounted device powered by a 120V wall transformer or</w:t>
      </w:r>
      <w:r>
        <w:rPr>
          <w:spacing w:val="-3"/>
          <w:sz w:val="22"/>
        </w:rPr>
        <w:t> </w:t>
      </w:r>
      <w:r>
        <w:rPr>
          <w:sz w:val="22"/>
        </w:rPr>
        <w:t>9-30VDC.</w:t>
      </w:r>
    </w:p>
    <w:p>
      <w:pPr>
        <w:pStyle w:val="ListParagraph"/>
        <w:numPr>
          <w:ilvl w:val="4"/>
          <w:numId w:val="6"/>
        </w:numPr>
        <w:tabs>
          <w:tab w:pos="1301" w:val="left" w:leader="none"/>
        </w:tabs>
        <w:spacing w:line="240" w:lineRule="auto" w:before="120" w:after="0"/>
        <w:ind w:left="1300" w:right="868" w:hanging="360"/>
        <w:jc w:val="left"/>
        <w:rPr>
          <w:sz w:val="22"/>
        </w:rPr>
      </w:pPr>
      <w:r>
        <w:rPr>
          <w:sz w:val="22"/>
        </w:rPr>
        <w:t>The transceiver shall operate in one of the Instrumentation, Scientific and Medical</w:t>
      </w:r>
      <w:r>
        <w:rPr>
          <w:spacing w:val="-33"/>
          <w:sz w:val="22"/>
        </w:rPr>
        <w:t> </w:t>
      </w:r>
      <w:r>
        <w:rPr>
          <w:sz w:val="22"/>
        </w:rPr>
        <w:t>(ISM) radio frequencies (900</w:t>
      </w:r>
      <w:r>
        <w:rPr>
          <w:spacing w:val="-5"/>
          <w:sz w:val="22"/>
        </w:rPr>
        <w:t> </w:t>
      </w:r>
      <w:r>
        <w:rPr>
          <w:sz w:val="22"/>
        </w:rPr>
        <w:t>MHz).</w:t>
      </w:r>
    </w:p>
    <w:p>
      <w:pPr>
        <w:pStyle w:val="ListParagraph"/>
        <w:numPr>
          <w:ilvl w:val="4"/>
          <w:numId w:val="6"/>
        </w:numPr>
        <w:tabs>
          <w:tab w:pos="1301" w:val="left" w:leader="none"/>
        </w:tabs>
        <w:spacing w:line="240" w:lineRule="auto" w:before="118" w:after="0"/>
        <w:ind w:left="1300" w:right="0" w:hanging="360"/>
        <w:jc w:val="left"/>
        <w:rPr>
          <w:sz w:val="22"/>
        </w:rPr>
      </w:pPr>
      <w:r>
        <w:rPr>
          <w:sz w:val="22"/>
        </w:rPr>
        <w:t>The transceiver shall transmit at 1000mW</w:t>
      </w:r>
      <w:r>
        <w:rPr>
          <w:spacing w:val="2"/>
          <w:sz w:val="22"/>
        </w:rPr>
        <w:t> </w:t>
      </w:r>
      <w:r>
        <w:rPr>
          <w:sz w:val="22"/>
        </w:rPr>
        <w:t>power.</w:t>
      </w:r>
    </w:p>
    <w:p>
      <w:pPr>
        <w:pStyle w:val="ListParagraph"/>
        <w:numPr>
          <w:ilvl w:val="4"/>
          <w:numId w:val="6"/>
        </w:numPr>
        <w:tabs>
          <w:tab w:pos="1301" w:val="left" w:leader="none"/>
        </w:tabs>
        <w:spacing w:line="240" w:lineRule="auto" w:before="122" w:after="0"/>
        <w:ind w:left="1300" w:right="0" w:hanging="360"/>
        <w:jc w:val="left"/>
        <w:rPr>
          <w:sz w:val="22"/>
        </w:rPr>
      </w:pPr>
      <w:r>
        <w:rPr>
          <w:sz w:val="22"/>
        </w:rPr>
        <w:t>The transceiver must be installed without the need for a site</w:t>
      </w:r>
      <w:r>
        <w:rPr>
          <w:spacing w:val="-11"/>
          <w:sz w:val="22"/>
        </w:rPr>
        <w:t> </w:t>
      </w:r>
      <w:r>
        <w:rPr>
          <w:sz w:val="22"/>
        </w:rPr>
        <w:t>license.</w:t>
      </w:r>
    </w:p>
    <w:p>
      <w:pPr>
        <w:pStyle w:val="ListParagraph"/>
        <w:numPr>
          <w:ilvl w:val="4"/>
          <w:numId w:val="6"/>
        </w:numPr>
        <w:tabs>
          <w:tab w:pos="1301" w:val="left" w:leader="none"/>
        </w:tabs>
        <w:spacing w:line="240" w:lineRule="auto" w:before="119" w:after="0"/>
        <w:ind w:left="1300" w:right="1022" w:hanging="360"/>
        <w:jc w:val="left"/>
        <w:rPr>
          <w:sz w:val="22"/>
        </w:rPr>
      </w:pPr>
      <w:r>
        <w:rPr>
          <w:sz w:val="22"/>
        </w:rPr>
        <w:t>The transceiver shall be frequency hopping spread spectrum (FHSS) protocol to</w:t>
      </w:r>
      <w:r>
        <w:rPr>
          <w:spacing w:val="-24"/>
          <w:sz w:val="22"/>
        </w:rPr>
        <w:t> </w:t>
      </w:r>
      <w:r>
        <w:rPr>
          <w:sz w:val="22"/>
        </w:rPr>
        <w:t>avoid interference.</w:t>
      </w:r>
    </w:p>
    <w:p>
      <w:pPr>
        <w:pStyle w:val="ListParagraph"/>
        <w:numPr>
          <w:ilvl w:val="4"/>
          <w:numId w:val="6"/>
        </w:numPr>
        <w:tabs>
          <w:tab w:pos="1301" w:val="left" w:leader="none"/>
        </w:tabs>
        <w:spacing w:line="240" w:lineRule="auto" w:before="120" w:after="0"/>
        <w:ind w:left="1300" w:right="1032" w:hanging="360"/>
        <w:jc w:val="left"/>
        <w:rPr>
          <w:sz w:val="22"/>
        </w:rPr>
      </w:pPr>
      <w:r>
        <w:rPr>
          <w:sz w:val="22"/>
        </w:rPr>
        <w:t>The transceiver shall communicate with other transceivers to develop a self-managing mesh network without the need for a host PC or software to manage the</w:t>
      </w:r>
      <w:r>
        <w:rPr>
          <w:spacing w:val="-17"/>
          <w:sz w:val="22"/>
        </w:rPr>
        <w:t> </w:t>
      </w:r>
      <w:r>
        <w:rPr>
          <w:sz w:val="22"/>
        </w:rPr>
        <w:t>network.</w:t>
      </w:r>
    </w:p>
    <w:p>
      <w:pPr>
        <w:pStyle w:val="ListParagraph"/>
        <w:numPr>
          <w:ilvl w:val="4"/>
          <w:numId w:val="6"/>
        </w:numPr>
        <w:tabs>
          <w:tab w:pos="1301" w:val="left" w:leader="none"/>
        </w:tabs>
        <w:spacing w:line="240" w:lineRule="auto" w:before="121" w:after="0"/>
        <w:ind w:left="1300" w:right="1031" w:hanging="360"/>
        <w:jc w:val="left"/>
        <w:rPr>
          <w:sz w:val="22"/>
        </w:rPr>
      </w:pPr>
      <w:r>
        <w:rPr>
          <w:sz w:val="22"/>
        </w:rPr>
        <w:t>The transceiver network shall be designed to optimize transmission of ModBus RTU protocol data packets such that the wireless data stream is transparent to the ModBus RTU</w:t>
      </w:r>
      <w:r>
        <w:rPr>
          <w:spacing w:val="-3"/>
          <w:sz w:val="22"/>
        </w:rPr>
        <w:t> </w:t>
      </w:r>
      <w:r>
        <w:rPr>
          <w:sz w:val="22"/>
        </w:rPr>
        <w:t>master.</w:t>
      </w:r>
    </w:p>
    <w:p>
      <w:pPr>
        <w:pStyle w:val="ListParagraph"/>
        <w:numPr>
          <w:ilvl w:val="4"/>
          <w:numId w:val="6"/>
        </w:numPr>
        <w:tabs>
          <w:tab w:pos="1300" w:val="left" w:leader="none"/>
          <w:tab w:pos="1301" w:val="left" w:leader="none"/>
        </w:tabs>
        <w:spacing w:line="240" w:lineRule="auto" w:before="119" w:after="0"/>
        <w:ind w:left="1300" w:right="913" w:hanging="360"/>
        <w:jc w:val="left"/>
        <w:rPr>
          <w:sz w:val="22"/>
        </w:rPr>
      </w:pPr>
      <w:r>
        <w:rPr>
          <w:sz w:val="22"/>
        </w:rPr>
        <w:t>The transceiver shall have one RS 485 port for serial communications and two</w:t>
      </w:r>
      <w:r>
        <w:rPr>
          <w:spacing w:val="-24"/>
          <w:sz w:val="22"/>
        </w:rPr>
        <w:t> </w:t>
      </w:r>
      <w:r>
        <w:rPr>
          <w:sz w:val="22"/>
        </w:rPr>
        <w:t>auxiliary terminals for pulse</w:t>
      </w:r>
      <w:r>
        <w:rPr>
          <w:spacing w:val="-4"/>
          <w:sz w:val="22"/>
        </w:rPr>
        <w:t> </w:t>
      </w:r>
      <w:r>
        <w:rPr>
          <w:sz w:val="22"/>
        </w:rPr>
        <w:t>inputs.</w:t>
      </w:r>
    </w:p>
    <w:p>
      <w:pPr>
        <w:pStyle w:val="ListParagraph"/>
        <w:numPr>
          <w:ilvl w:val="4"/>
          <w:numId w:val="6"/>
        </w:numPr>
        <w:tabs>
          <w:tab w:pos="1301" w:val="left" w:leader="none"/>
        </w:tabs>
        <w:spacing w:line="240" w:lineRule="auto" w:before="121" w:after="0"/>
        <w:ind w:left="1300" w:right="0" w:hanging="360"/>
        <w:jc w:val="left"/>
        <w:rPr>
          <w:sz w:val="22"/>
        </w:rPr>
      </w:pPr>
      <w:r>
        <w:rPr>
          <w:sz w:val="22"/>
        </w:rPr>
        <w:t>Each transceiver shall provide the following status</w:t>
      </w:r>
      <w:r>
        <w:rPr>
          <w:spacing w:val="-1"/>
          <w:sz w:val="22"/>
        </w:rPr>
        <w:t> </w:t>
      </w:r>
      <w:r>
        <w:rPr>
          <w:sz w:val="22"/>
        </w:rPr>
        <w:t>indications:</w:t>
      </w:r>
    </w:p>
    <w:p>
      <w:pPr>
        <w:pStyle w:val="ListParagraph"/>
        <w:numPr>
          <w:ilvl w:val="5"/>
          <w:numId w:val="6"/>
        </w:numPr>
        <w:tabs>
          <w:tab w:pos="2021" w:val="left" w:leader="none"/>
        </w:tabs>
        <w:spacing w:line="240" w:lineRule="auto" w:before="119" w:after="0"/>
        <w:ind w:left="1660" w:right="0" w:firstLine="0"/>
        <w:jc w:val="left"/>
        <w:rPr>
          <w:sz w:val="22"/>
        </w:rPr>
      </w:pPr>
      <w:r>
        <w:rPr>
          <w:sz w:val="22"/>
        </w:rPr>
        <w:t>Alarm.</w:t>
      </w:r>
    </w:p>
    <w:p>
      <w:pPr>
        <w:pStyle w:val="ListParagraph"/>
        <w:numPr>
          <w:ilvl w:val="5"/>
          <w:numId w:val="6"/>
        </w:numPr>
        <w:tabs>
          <w:tab w:pos="2021" w:val="left" w:leader="none"/>
        </w:tabs>
        <w:spacing w:line="240" w:lineRule="auto" w:before="121" w:after="0"/>
        <w:ind w:left="1660" w:right="0" w:firstLine="0"/>
        <w:jc w:val="left"/>
        <w:rPr>
          <w:sz w:val="22"/>
        </w:rPr>
      </w:pPr>
      <w:r>
        <w:rPr>
          <w:sz w:val="22"/>
        </w:rPr>
        <w:t>RF RX</w:t>
      </w:r>
      <w:r>
        <w:rPr>
          <w:spacing w:val="-5"/>
          <w:sz w:val="22"/>
        </w:rPr>
        <w:t> </w:t>
      </w:r>
      <w:r>
        <w:rPr>
          <w:sz w:val="22"/>
        </w:rPr>
        <w:t>(Receive).</w:t>
      </w:r>
    </w:p>
    <w:p>
      <w:pPr>
        <w:pStyle w:val="ListParagraph"/>
        <w:numPr>
          <w:ilvl w:val="5"/>
          <w:numId w:val="6"/>
        </w:numPr>
        <w:tabs>
          <w:tab w:pos="2021" w:val="left" w:leader="none"/>
        </w:tabs>
        <w:spacing w:line="240" w:lineRule="auto" w:before="119" w:after="0"/>
        <w:ind w:left="1660" w:right="0" w:firstLine="0"/>
        <w:jc w:val="left"/>
        <w:rPr>
          <w:sz w:val="22"/>
        </w:rPr>
      </w:pPr>
      <w:r>
        <w:rPr>
          <w:sz w:val="22"/>
        </w:rPr>
        <w:t>RF TX</w:t>
      </w:r>
      <w:r>
        <w:rPr>
          <w:spacing w:val="-2"/>
          <w:sz w:val="22"/>
        </w:rPr>
        <w:t> </w:t>
      </w:r>
      <w:r>
        <w:rPr>
          <w:sz w:val="22"/>
        </w:rPr>
        <w:t>(Transmit).</w:t>
      </w:r>
    </w:p>
    <w:p>
      <w:pPr>
        <w:pStyle w:val="ListParagraph"/>
        <w:numPr>
          <w:ilvl w:val="5"/>
          <w:numId w:val="6"/>
        </w:numPr>
        <w:tabs>
          <w:tab w:pos="2021" w:val="left" w:leader="none"/>
        </w:tabs>
        <w:spacing w:line="240" w:lineRule="auto" w:before="119" w:after="0"/>
        <w:ind w:left="1660" w:right="0" w:firstLine="0"/>
        <w:jc w:val="left"/>
        <w:rPr>
          <w:sz w:val="22"/>
        </w:rPr>
      </w:pPr>
      <w:r>
        <w:rPr>
          <w:sz w:val="22"/>
        </w:rPr>
        <w:t>485 RX</w:t>
      </w:r>
      <w:r>
        <w:rPr>
          <w:spacing w:val="-4"/>
          <w:sz w:val="22"/>
        </w:rPr>
        <w:t> </w:t>
      </w:r>
      <w:r>
        <w:rPr>
          <w:sz w:val="22"/>
        </w:rPr>
        <w:t>(Receive).</w:t>
      </w:r>
    </w:p>
    <w:p>
      <w:pPr>
        <w:pStyle w:val="ListParagraph"/>
        <w:numPr>
          <w:ilvl w:val="5"/>
          <w:numId w:val="6"/>
        </w:numPr>
        <w:tabs>
          <w:tab w:pos="2021" w:val="left" w:leader="none"/>
        </w:tabs>
        <w:spacing w:line="240" w:lineRule="auto" w:before="122" w:after="0"/>
        <w:ind w:left="1660" w:right="0" w:firstLine="0"/>
        <w:jc w:val="left"/>
        <w:rPr>
          <w:sz w:val="22"/>
        </w:rPr>
      </w:pPr>
      <w:r>
        <w:rPr>
          <w:sz w:val="22"/>
        </w:rPr>
        <w:t>485 TX</w:t>
      </w:r>
      <w:r>
        <w:rPr>
          <w:spacing w:val="-4"/>
          <w:sz w:val="22"/>
        </w:rPr>
        <w:t> </w:t>
      </w:r>
      <w:r>
        <w:rPr>
          <w:sz w:val="22"/>
        </w:rPr>
        <w:t>(Transmit).</w:t>
      </w:r>
    </w:p>
    <w:p>
      <w:pPr>
        <w:pStyle w:val="ListParagraph"/>
        <w:numPr>
          <w:ilvl w:val="5"/>
          <w:numId w:val="6"/>
        </w:numPr>
        <w:tabs>
          <w:tab w:pos="2021" w:val="left" w:leader="none"/>
        </w:tabs>
        <w:spacing w:line="240" w:lineRule="auto" w:before="119" w:after="0"/>
        <w:ind w:left="1660" w:right="0" w:firstLine="0"/>
        <w:jc w:val="left"/>
        <w:rPr>
          <w:sz w:val="22"/>
        </w:rPr>
      </w:pPr>
      <w:r>
        <w:rPr>
          <w:sz w:val="22"/>
        </w:rPr>
        <w:t>Alive.</w:t>
      </w:r>
    </w:p>
    <w:p>
      <w:pPr>
        <w:pStyle w:val="ListParagraph"/>
        <w:numPr>
          <w:ilvl w:val="5"/>
          <w:numId w:val="6"/>
        </w:numPr>
        <w:tabs>
          <w:tab w:pos="2021" w:val="left" w:leader="none"/>
        </w:tabs>
        <w:spacing w:line="240" w:lineRule="auto" w:before="122" w:after="0"/>
        <w:ind w:left="1660" w:right="0" w:firstLine="0"/>
        <w:jc w:val="left"/>
        <w:rPr>
          <w:sz w:val="22"/>
        </w:rPr>
      </w:pPr>
      <w:r>
        <w:rPr>
          <w:sz w:val="22"/>
        </w:rPr>
        <w:t>Pulse 1.</w:t>
      </w:r>
    </w:p>
    <w:p>
      <w:pPr>
        <w:pStyle w:val="ListParagraph"/>
        <w:numPr>
          <w:ilvl w:val="5"/>
          <w:numId w:val="6"/>
        </w:numPr>
        <w:tabs>
          <w:tab w:pos="2021" w:val="left" w:leader="none"/>
        </w:tabs>
        <w:spacing w:line="352" w:lineRule="auto" w:before="119" w:after="0"/>
        <w:ind w:left="1660" w:right="7799" w:firstLine="0"/>
        <w:jc w:val="left"/>
        <w:rPr>
          <w:sz w:val="22"/>
        </w:rPr>
      </w:pPr>
      <w:r>
        <w:rPr>
          <w:sz w:val="22"/>
        </w:rPr>
        <w:t>Pulse 2. 9.</w:t>
      </w:r>
      <w:r>
        <w:rPr>
          <w:spacing w:val="49"/>
          <w:sz w:val="22"/>
        </w:rPr>
        <w:t> </w:t>
      </w:r>
      <w:r>
        <w:rPr>
          <w:sz w:val="22"/>
        </w:rPr>
        <w:t>400MHz.</w:t>
      </w:r>
    </w:p>
    <w:p>
      <w:pPr>
        <w:spacing w:after="0" w:line="352" w:lineRule="auto"/>
        <w:jc w:val="left"/>
        <w:rPr>
          <w:sz w:val="22"/>
        </w:rPr>
        <w:sectPr>
          <w:pgSz w:w="12240" w:h="15840"/>
          <w:pgMar w:header="724" w:footer="1020" w:top="1220" w:bottom="1220" w:left="860" w:right="680"/>
        </w:sectPr>
      </w:pPr>
    </w:p>
    <w:p>
      <w:pPr>
        <w:pStyle w:val="BodyText"/>
        <w:spacing w:before="6"/>
        <w:rPr>
          <w:sz w:val="10"/>
        </w:rPr>
      </w:pPr>
    </w:p>
    <w:p>
      <w:pPr>
        <w:pStyle w:val="ListParagraph"/>
        <w:numPr>
          <w:ilvl w:val="4"/>
          <w:numId w:val="6"/>
        </w:numPr>
        <w:tabs>
          <w:tab w:pos="1301" w:val="left" w:leader="none"/>
        </w:tabs>
        <w:spacing w:line="240" w:lineRule="auto" w:before="94" w:after="0"/>
        <w:ind w:left="1300" w:right="1015" w:hanging="360"/>
        <w:jc w:val="left"/>
        <w:rPr>
          <w:sz w:val="22"/>
        </w:rPr>
      </w:pPr>
      <w:r>
        <w:rPr>
          <w:sz w:val="22"/>
        </w:rPr>
        <w:t>Each transceiver shall provide the capability for signal strength indication using the Pulse 1 and Pulse 2 LED's listed above and a push button mounted on the transceiver with no external</w:t>
      </w:r>
      <w:r>
        <w:rPr>
          <w:spacing w:val="-2"/>
          <w:sz w:val="22"/>
        </w:rPr>
        <w:t> </w:t>
      </w:r>
      <w:r>
        <w:rPr>
          <w:sz w:val="22"/>
        </w:rPr>
        <w:t>interface.</w:t>
      </w:r>
    </w:p>
    <w:p>
      <w:pPr>
        <w:pStyle w:val="ListParagraph"/>
        <w:numPr>
          <w:ilvl w:val="4"/>
          <w:numId w:val="6"/>
        </w:numPr>
        <w:tabs>
          <w:tab w:pos="1301" w:val="left" w:leader="none"/>
        </w:tabs>
        <w:spacing w:line="240" w:lineRule="auto" w:before="119" w:after="0"/>
        <w:ind w:left="1300" w:right="799" w:hanging="360"/>
        <w:jc w:val="left"/>
        <w:rPr>
          <w:sz w:val="22"/>
        </w:rPr>
      </w:pPr>
      <w:r>
        <w:rPr>
          <w:sz w:val="22"/>
        </w:rPr>
        <w:t>The transceiver network shall continuously monitor the performance of the network to optimize the routing of transmissions from connected devices to the ModBus master and adjust routes to optimize</w:t>
      </w:r>
      <w:r>
        <w:rPr>
          <w:spacing w:val="-6"/>
          <w:sz w:val="22"/>
        </w:rPr>
        <w:t> </w:t>
      </w:r>
      <w:r>
        <w:rPr>
          <w:sz w:val="22"/>
        </w:rPr>
        <w:t>throughput.</w:t>
      </w:r>
    </w:p>
    <w:p>
      <w:pPr>
        <w:pStyle w:val="ListParagraph"/>
        <w:numPr>
          <w:ilvl w:val="4"/>
          <w:numId w:val="6"/>
        </w:numPr>
        <w:tabs>
          <w:tab w:pos="1301" w:val="left" w:leader="none"/>
        </w:tabs>
        <w:spacing w:line="240" w:lineRule="auto" w:before="120" w:after="0"/>
        <w:ind w:left="1300" w:right="895" w:hanging="360"/>
        <w:jc w:val="left"/>
        <w:rPr>
          <w:sz w:val="22"/>
        </w:rPr>
      </w:pPr>
      <w:r>
        <w:rPr>
          <w:sz w:val="22"/>
        </w:rPr>
        <w:t>The transceiver must perform at a maximum range of 3000 feet indoors, without line-of- sight and up to 14 miles with line of</w:t>
      </w:r>
      <w:r>
        <w:rPr>
          <w:spacing w:val="-8"/>
          <w:sz w:val="22"/>
        </w:rPr>
        <w:t> </w:t>
      </w:r>
      <w:r>
        <w:rPr>
          <w:sz w:val="22"/>
        </w:rPr>
        <w:t>sight.</w:t>
      </w:r>
    </w:p>
    <w:p>
      <w:pPr>
        <w:pStyle w:val="ListParagraph"/>
        <w:numPr>
          <w:ilvl w:val="4"/>
          <w:numId w:val="6"/>
        </w:numPr>
        <w:tabs>
          <w:tab w:pos="1301" w:val="left" w:leader="none"/>
        </w:tabs>
        <w:spacing w:line="240" w:lineRule="auto" w:before="120" w:after="0"/>
        <w:ind w:left="1300" w:right="0" w:hanging="360"/>
        <w:jc w:val="left"/>
        <w:rPr>
          <w:sz w:val="22"/>
        </w:rPr>
      </w:pPr>
      <w:r>
        <w:rPr>
          <w:sz w:val="22"/>
        </w:rPr>
        <w:t>The transceiver must utilize 256 bit AES encryption</w:t>
      </w:r>
      <w:r>
        <w:rPr>
          <w:spacing w:val="-2"/>
          <w:sz w:val="22"/>
        </w:rPr>
        <w:t> </w:t>
      </w:r>
      <w:r>
        <w:rPr>
          <w:sz w:val="22"/>
        </w:rPr>
        <w:t>technology.</w:t>
      </w:r>
    </w:p>
    <w:p>
      <w:pPr>
        <w:pStyle w:val="ListParagraph"/>
        <w:numPr>
          <w:ilvl w:val="4"/>
          <w:numId w:val="6"/>
        </w:numPr>
        <w:tabs>
          <w:tab w:pos="1361" w:val="left" w:leader="none"/>
        </w:tabs>
        <w:spacing w:line="240" w:lineRule="auto" w:before="122" w:after="0"/>
        <w:ind w:left="1300" w:right="822" w:hanging="360"/>
        <w:jc w:val="both"/>
        <w:rPr>
          <w:sz w:val="22"/>
        </w:rPr>
      </w:pPr>
      <w:r>
        <w:rPr>
          <w:sz w:val="22"/>
        </w:rPr>
        <w:t>The RS-485 cable which connects the meter with the wireless transceiver, and the data acquisition server with the wireless transceiver, shall be 600V, 1pr, 18awg, stranded, foil shield, PVC jacket.</w:t>
      </w:r>
    </w:p>
    <w:p>
      <w:pPr>
        <w:pStyle w:val="ListParagraph"/>
        <w:numPr>
          <w:ilvl w:val="4"/>
          <w:numId w:val="6"/>
        </w:numPr>
        <w:tabs>
          <w:tab w:pos="1301" w:val="left" w:leader="none"/>
        </w:tabs>
        <w:spacing w:line="240" w:lineRule="auto" w:before="120" w:after="0"/>
        <w:ind w:left="1300" w:right="0" w:hanging="360"/>
        <w:jc w:val="left"/>
        <w:rPr>
          <w:sz w:val="22"/>
        </w:rPr>
      </w:pPr>
      <w:r>
        <w:rPr>
          <w:sz w:val="22"/>
        </w:rPr>
        <w:t>All Cables to be continuous with no cable</w:t>
      </w:r>
      <w:r>
        <w:rPr>
          <w:spacing w:val="-3"/>
          <w:sz w:val="22"/>
        </w:rPr>
        <w:t> </w:t>
      </w:r>
      <w:r>
        <w:rPr>
          <w:sz w:val="22"/>
        </w:rPr>
        <w:t>splices.</w:t>
      </w:r>
    </w:p>
    <w:p>
      <w:pPr>
        <w:pStyle w:val="ListParagraph"/>
        <w:numPr>
          <w:ilvl w:val="4"/>
          <w:numId w:val="6"/>
        </w:numPr>
        <w:tabs>
          <w:tab w:pos="1301" w:val="left" w:leader="none"/>
        </w:tabs>
        <w:spacing w:line="240" w:lineRule="auto" w:before="119" w:after="0"/>
        <w:ind w:left="1300" w:right="969" w:hanging="360"/>
        <w:jc w:val="left"/>
        <w:rPr>
          <w:sz w:val="22"/>
        </w:rPr>
      </w:pPr>
      <w:r>
        <w:rPr>
          <w:sz w:val="22"/>
        </w:rPr>
        <w:t>If Remote or external Antenna (e) is required, the location shall be line of site with continuous cable. The type of Antenna (e) shall be designed for outdoor use and most extreme weather</w:t>
      </w:r>
      <w:r>
        <w:rPr>
          <w:spacing w:val="-1"/>
          <w:sz w:val="22"/>
        </w:rPr>
        <w:t> </w:t>
      </w:r>
      <w:r>
        <w:rPr>
          <w:sz w:val="22"/>
        </w:rPr>
        <w:t>conditions.</w:t>
      </w:r>
    </w:p>
    <w:p>
      <w:pPr>
        <w:pStyle w:val="BodyText"/>
        <w:spacing w:before="1"/>
        <w:rPr>
          <w:sz w:val="21"/>
        </w:rPr>
      </w:pPr>
    </w:p>
    <w:p>
      <w:pPr>
        <w:pStyle w:val="Heading2"/>
        <w:numPr>
          <w:ilvl w:val="1"/>
          <w:numId w:val="10"/>
        </w:numPr>
        <w:tabs>
          <w:tab w:pos="1156" w:val="left" w:leader="none"/>
          <w:tab w:pos="1157" w:val="left" w:leader="none"/>
        </w:tabs>
        <w:spacing w:line="240" w:lineRule="auto" w:before="0" w:after="0"/>
        <w:ind w:left="1156" w:right="0" w:hanging="576"/>
        <w:jc w:val="left"/>
      </w:pPr>
      <w:bookmarkStart w:name="_bookmark25" w:id="44"/>
      <w:bookmarkEnd w:id="44"/>
      <w:r>
        <w:rPr>
          <w:b w:val="0"/>
        </w:rPr>
      </w:r>
      <w:bookmarkStart w:name="_bookmark25" w:id="45"/>
      <w:bookmarkEnd w:id="45"/>
      <w:r>
        <w:rPr/>
        <w:t>Data</w:t>
      </w:r>
      <w:r>
        <w:rPr/>
        <w:t> Communications and</w:t>
      </w:r>
      <w:r>
        <w:rPr>
          <w:spacing w:val="-3"/>
        </w:rPr>
        <w:t> </w:t>
      </w:r>
      <w:r>
        <w:rPr/>
        <w:t>Configuratio</w:t>
      </w:r>
      <w:bookmarkStart w:name="_bookmark26" w:id="46"/>
      <w:bookmarkEnd w:id="46"/>
      <w:r>
        <w:rPr/>
        <w:t>n</w:t>
      </w:r>
    </w:p>
    <w:p>
      <w:pPr>
        <w:pStyle w:val="Heading3"/>
        <w:numPr>
          <w:ilvl w:val="2"/>
          <w:numId w:val="10"/>
        </w:numPr>
        <w:tabs>
          <w:tab w:pos="1300" w:val="left" w:leader="none"/>
          <w:tab w:pos="1301" w:val="left" w:leader="none"/>
        </w:tabs>
        <w:spacing w:line="240" w:lineRule="auto" w:before="235" w:after="0"/>
        <w:ind w:left="1300" w:right="0" w:hanging="720"/>
        <w:jc w:val="left"/>
      </w:pPr>
      <w:bookmarkStart w:name="_bookmark27" w:id="47"/>
      <w:bookmarkEnd w:id="47"/>
      <w:r>
        <w:rPr>
          <w:b w:val="0"/>
        </w:rPr>
      </w:r>
      <w:bookmarkStart w:name="_bookmark27" w:id="48"/>
      <w:bookmarkEnd w:id="48"/>
      <w:r>
        <w:rPr/>
        <w:t>D</w:t>
      </w:r>
      <w:r>
        <w:rPr/>
        <w:t>ata Communications</w:t>
      </w:r>
    </w:p>
    <w:p>
      <w:pPr>
        <w:pStyle w:val="BodyText"/>
        <w:spacing w:before="3"/>
        <w:rPr>
          <w:b/>
          <w:sz w:val="21"/>
        </w:rPr>
      </w:pPr>
    </w:p>
    <w:p>
      <w:pPr>
        <w:pStyle w:val="Heading4"/>
        <w:ind w:left="580" w:firstLine="0"/>
        <w:rPr>
          <w:i/>
        </w:rPr>
      </w:pPr>
      <w:r>
        <w:rPr>
          <w:i/>
        </w:rPr>
        <w:t>3.3.1.1 Introduction</w:t>
      </w:r>
    </w:p>
    <w:p>
      <w:pPr>
        <w:pStyle w:val="BodyText"/>
        <w:spacing w:line="276" w:lineRule="auto" w:before="119"/>
        <w:ind w:left="580" w:right="782"/>
      </w:pPr>
      <w:r>
        <w:rPr/>
        <w:t>As data is collected, it shall be communicated to a common repository for storage and analysis similar to that shown in </w:t>
      </w:r>
      <w:hyperlink w:history="true" w:anchor="_bookmark28">
        <w:r>
          <w:rPr/>
          <w:t>Figure 3</w:t>
        </w:r>
      </w:hyperlink>
      <w:r>
        <w:rPr/>
        <w:t>. This section details the system that shall be used to collate and communicate the individual streams of metered data at a facility/site prior to being processed into a central repository (labeled as “Equipment” in </w:t>
      </w:r>
      <w:hyperlink w:history="true" w:anchor="_bookmark28">
        <w:r>
          <w:rPr/>
          <w:t>Figure 3 </w:t>
        </w:r>
      </w:hyperlink>
      <w:r>
        <w:rPr/>
        <w:t>below). This equipment is comprised of meters, transceivers, and the DAS. The equipment was selected and vetted during the initial implementation of the Advanced Metering Initiative (AMI), (see </w:t>
      </w:r>
      <w:hyperlink w:history="true" w:anchor="_bookmark47">
        <w:r>
          <w:rPr/>
          <w:t>Appendix D</w:t>
        </w:r>
      </w:hyperlink>
      <w:r>
        <w:rPr/>
        <w:t>). As such, all AMI equipment installed to date should adhere to the requirements of this CSTO. The Enterprise/Network Services and End User Applications are beyond the scope of this Technical order. However the energy variables collected by the equipment described herein (which is then made available to the Enterprise/Network services and End User Applications software) are described in Section </w:t>
      </w:r>
      <w:hyperlink w:history="true" w:anchor="_bookmark29">
        <w:r>
          <w:rPr/>
          <w:t>3.3.2 </w:t>
        </w:r>
      </w:hyperlink>
      <w:r>
        <w:rPr/>
        <w:t>Key Data Fields.</w:t>
      </w:r>
    </w:p>
    <w:p>
      <w:pPr>
        <w:spacing w:after="0" w:line="276" w:lineRule="auto"/>
        <w:sectPr>
          <w:pgSz w:w="12240" w:h="15840"/>
          <w:pgMar w:header="724" w:footer="1020" w:top="1220" w:bottom="1220" w:left="860" w:right="680"/>
        </w:sectPr>
      </w:pPr>
    </w:p>
    <w:p>
      <w:pPr>
        <w:pStyle w:val="BodyText"/>
        <w:spacing w:before="10"/>
        <w:rPr>
          <w:sz w:val="18"/>
        </w:rPr>
      </w:pPr>
    </w:p>
    <w:p>
      <w:pPr>
        <w:pStyle w:val="BodyText"/>
        <w:ind w:left="580"/>
        <w:rPr>
          <w:sz w:val="20"/>
        </w:rPr>
      </w:pPr>
      <w:r>
        <w:rPr>
          <w:sz w:val="20"/>
        </w:rPr>
        <w:drawing>
          <wp:inline distT="0" distB="0" distL="0" distR="0">
            <wp:extent cx="6058350" cy="3616452"/>
            <wp:effectExtent l="0" t="0" r="0" b="0"/>
            <wp:docPr id="9" name="image28.jpeg" descr=""/>
            <wp:cNvGraphicFramePr>
              <a:graphicFrameLocks noChangeAspect="1"/>
            </wp:cNvGraphicFramePr>
            <a:graphic>
              <a:graphicData uri="http://schemas.openxmlformats.org/drawingml/2006/picture">
                <pic:pic>
                  <pic:nvPicPr>
                    <pic:cNvPr id="10" name="image28.jpeg"/>
                    <pic:cNvPicPr/>
                  </pic:nvPicPr>
                  <pic:blipFill>
                    <a:blip r:embed="rId37" cstate="print"/>
                    <a:stretch>
                      <a:fillRect/>
                    </a:stretch>
                  </pic:blipFill>
                  <pic:spPr>
                    <a:xfrm>
                      <a:off x="0" y="0"/>
                      <a:ext cx="6058350" cy="3616452"/>
                    </a:xfrm>
                    <a:prstGeom prst="rect">
                      <a:avLst/>
                    </a:prstGeom>
                  </pic:spPr>
                </pic:pic>
              </a:graphicData>
            </a:graphic>
          </wp:inline>
        </w:drawing>
      </w:r>
      <w:r>
        <w:rPr>
          <w:sz w:val="20"/>
        </w:rPr>
      </w:r>
    </w:p>
    <w:p>
      <w:pPr>
        <w:spacing w:before="155"/>
        <w:ind w:left="3960" w:right="0" w:firstLine="0"/>
        <w:jc w:val="left"/>
        <w:rPr>
          <w:b/>
          <w:sz w:val="18"/>
        </w:rPr>
      </w:pPr>
      <w:bookmarkStart w:name="_bookmark28" w:id="49"/>
      <w:bookmarkEnd w:id="49"/>
      <w:r>
        <w:rPr/>
      </w:r>
      <w:r>
        <w:rPr>
          <w:b/>
          <w:sz w:val="18"/>
        </w:rPr>
        <w:t>Figure 3: AMI System Diagram</w:t>
      </w:r>
    </w:p>
    <w:p>
      <w:pPr>
        <w:pStyle w:val="BodyText"/>
        <w:spacing w:before="7"/>
        <w:rPr>
          <w:b/>
          <w:sz w:val="28"/>
        </w:rPr>
      </w:pPr>
    </w:p>
    <w:p>
      <w:pPr>
        <w:pStyle w:val="BodyText"/>
        <w:spacing w:line="276" w:lineRule="auto"/>
        <w:ind w:left="580" w:right="781"/>
      </w:pPr>
      <w:r>
        <w:rPr/>
        <w:t>The information gathered by the above systems is collected, analyzed, and archived by an EDMS software tool. While the EDMS is configured through a separate set of prescribed IT documentation, as outlined in </w:t>
      </w:r>
      <w:r>
        <w:rPr>
          <w:i/>
        </w:rPr>
        <w:t>Shore Facilities Utilities Metering Guidance Memorandum</w:t>
      </w:r>
      <w:r>
        <w:rPr/>
        <w:t>, the needs of that software both informs and is informed by the configuration standards set for in this Technical Order. As such this section documents the data fields that shall be supported through the selected EDMS. The format of the data feeds into the EDMS shall be in text form via standard delimited text, or XML format per Section </w:t>
      </w:r>
      <w:hyperlink w:history="true" w:anchor="_bookmark23">
        <w:r>
          <w:rPr/>
          <w:t>3.2.5.2 </w:t>
        </w:r>
      </w:hyperlink>
      <w:r>
        <w:rPr/>
        <w:t>DAS requirements.</w:t>
      </w:r>
    </w:p>
    <w:p>
      <w:pPr>
        <w:pStyle w:val="BodyText"/>
        <w:spacing w:before="8"/>
        <w:rPr>
          <w:sz w:val="12"/>
        </w:rPr>
      </w:pPr>
    </w:p>
    <w:p>
      <w:pPr>
        <w:spacing w:after="0"/>
        <w:rPr>
          <w:sz w:val="12"/>
        </w:rPr>
        <w:sectPr>
          <w:pgSz w:w="12240" w:h="15840"/>
          <w:pgMar w:header="724" w:footer="1020" w:top="1220" w:bottom="1220" w:left="860" w:right="680"/>
        </w:sectPr>
      </w:pPr>
    </w:p>
    <w:p>
      <w:pPr>
        <w:pStyle w:val="Heading3"/>
        <w:numPr>
          <w:ilvl w:val="2"/>
          <w:numId w:val="10"/>
        </w:numPr>
        <w:tabs>
          <w:tab w:pos="1300" w:val="left" w:leader="none"/>
          <w:tab w:pos="1301" w:val="left" w:leader="none"/>
        </w:tabs>
        <w:spacing w:line="240" w:lineRule="auto" w:before="93" w:after="0"/>
        <w:ind w:left="1300" w:right="0" w:hanging="720"/>
        <w:jc w:val="left"/>
      </w:pPr>
      <w:bookmarkStart w:name="_bookmark29" w:id="50"/>
      <w:bookmarkEnd w:id="50"/>
      <w:r>
        <w:rPr>
          <w:b w:val="0"/>
        </w:rPr>
      </w:r>
      <w:bookmarkStart w:name="_bookmark29" w:id="51"/>
      <w:bookmarkEnd w:id="51"/>
      <w:r>
        <w:rPr/>
        <w:t>K</w:t>
      </w:r>
      <w:r>
        <w:rPr/>
        <w:t>ey Data</w:t>
      </w:r>
      <w:r>
        <w:rPr>
          <w:spacing w:val="-2"/>
        </w:rPr>
        <w:t> </w:t>
      </w:r>
      <w:r>
        <w:rPr/>
        <w:t>Fields</w:t>
      </w:r>
    </w:p>
    <w:p>
      <w:pPr>
        <w:pStyle w:val="BodyText"/>
        <w:rPr>
          <w:b/>
          <w:sz w:val="20"/>
        </w:rPr>
      </w:pPr>
      <w:r>
        <w:rPr/>
        <w:br w:type="column"/>
      </w:r>
      <w:r>
        <w:rPr>
          <w:b/>
          <w:sz w:val="20"/>
        </w:rPr>
      </w:r>
    </w:p>
    <w:p>
      <w:pPr>
        <w:pStyle w:val="BodyText"/>
        <w:spacing w:before="4"/>
        <w:rPr>
          <w:b/>
          <w:sz w:val="20"/>
        </w:rPr>
      </w:pPr>
    </w:p>
    <w:p>
      <w:pPr>
        <w:spacing w:before="0"/>
        <w:ind w:left="580" w:right="0" w:firstLine="0"/>
        <w:jc w:val="left"/>
        <w:rPr>
          <w:sz w:val="18"/>
        </w:rPr>
      </w:pPr>
      <w:r>
        <w:rPr>
          <w:b/>
          <w:sz w:val="18"/>
        </w:rPr>
        <w:t>Table 3-1: </w:t>
      </w:r>
      <w:r>
        <w:rPr>
          <w:sz w:val="18"/>
        </w:rPr>
        <w:t>Electric</w:t>
      </w:r>
    </w:p>
    <w:p>
      <w:pPr>
        <w:spacing w:after="0"/>
        <w:jc w:val="left"/>
        <w:rPr>
          <w:sz w:val="18"/>
        </w:rPr>
        <w:sectPr>
          <w:type w:val="continuous"/>
          <w:pgSz w:w="12240" w:h="15840"/>
          <w:pgMar w:top="1000" w:bottom="280" w:left="860" w:right="680"/>
          <w:cols w:num="2" w:equalWidth="0">
            <w:col w:w="2982" w:space="957"/>
            <w:col w:w="6761"/>
          </w:cols>
        </w:sectPr>
      </w:pPr>
    </w:p>
    <w:p>
      <w:pPr>
        <w:pStyle w:val="BodyText"/>
        <w:spacing w:before="10"/>
        <w:rPr>
          <w:sz w:val="5"/>
        </w:rPr>
      </w:pPr>
    </w:p>
    <w:tbl>
      <w:tblPr>
        <w:tblW w:w="0" w:type="auto"/>
        <w:jc w:val="left"/>
        <w:tblInd w:w="275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4061"/>
        <w:gridCol w:w="1282"/>
      </w:tblGrid>
      <w:tr>
        <w:trPr>
          <w:trHeight w:val="309" w:hRule="atLeast"/>
        </w:trPr>
        <w:tc>
          <w:tcPr>
            <w:tcW w:w="4061" w:type="dxa"/>
            <w:shd w:val="clear" w:color="auto" w:fill="D9D9D9"/>
          </w:tcPr>
          <w:p>
            <w:pPr>
              <w:pStyle w:val="TableParagraph"/>
              <w:spacing w:before="35"/>
              <w:rPr>
                <w:b/>
                <w:sz w:val="20"/>
              </w:rPr>
            </w:pPr>
            <w:r>
              <w:rPr>
                <w:b/>
                <w:sz w:val="20"/>
              </w:rPr>
              <w:t>Variable</w:t>
            </w:r>
          </w:p>
        </w:tc>
        <w:tc>
          <w:tcPr>
            <w:tcW w:w="1282" w:type="dxa"/>
            <w:shd w:val="clear" w:color="auto" w:fill="D9D9D9"/>
          </w:tcPr>
          <w:p>
            <w:pPr>
              <w:pStyle w:val="TableParagraph"/>
              <w:spacing w:before="35"/>
              <w:ind w:left="108"/>
              <w:rPr>
                <w:b/>
                <w:sz w:val="20"/>
              </w:rPr>
            </w:pPr>
            <w:r>
              <w:rPr>
                <w:b/>
                <w:sz w:val="20"/>
              </w:rPr>
              <w:t>Unit</w:t>
            </w:r>
          </w:p>
        </w:tc>
      </w:tr>
      <w:tr>
        <w:trPr>
          <w:trHeight w:val="309" w:hRule="atLeast"/>
        </w:trPr>
        <w:tc>
          <w:tcPr>
            <w:tcW w:w="4061" w:type="dxa"/>
          </w:tcPr>
          <w:p>
            <w:pPr>
              <w:pStyle w:val="TableParagraph"/>
              <w:rPr>
                <w:sz w:val="20"/>
              </w:rPr>
            </w:pPr>
            <w:r>
              <w:rPr>
                <w:sz w:val="20"/>
              </w:rPr>
              <w:t>Energy consumption</w:t>
            </w:r>
          </w:p>
        </w:tc>
        <w:tc>
          <w:tcPr>
            <w:tcW w:w="1282" w:type="dxa"/>
          </w:tcPr>
          <w:p>
            <w:pPr>
              <w:pStyle w:val="TableParagraph"/>
              <w:ind w:left="108"/>
              <w:rPr>
                <w:sz w:val="20"/>
              </w:rPr>
            </w:pPr>
            <w:r>
              <w:rPr>
                <w:sz w:val="20"/>
              </w:rPr>
              <w:t>kWh</w:t>
            </w:r>
          </w:p>
        </w:tc>
      </w:tr>
      <w:tr>
        <w:trPr>
          <w:trHeight w:val="311" w:hRule="atLeast"/>
        </w:trPr>
        <w:tc>
          <w:tcPr>
            <w:tcW w:w="4061" w:type="dxa"/>
          </w:tcPr>
          <w:p>
            <w:pPr>
              <w:pStyle w:val="TableParagraph"/>
              <w:rPr>
                <w:sz w:val="20"/>
              </w:rPr>
            </w:pPr>
            <w:r>
              <w:rPr>
                <w:sz w:val="20"/>
              </w:rPr>
              <w:t>Rate of energy Consumption (Power)</w:t>
            </w:r>
          </w:p>
        </w:tc>
        <w:tc>
          <w:tcPr>
            <w:tcW w:w="1282" w:type="dxa"/>
          </w:tcPr>
          <w:p>
            <w:pPr>
              <w:pStyle w:val="TableParagraph"/>
              <w:ind w:left="108"/>
              <w:rPr>
                <w:sz w:val="20"/>
              </w:rPr>
            </w:pPr>
            <w:r>
              <w:rPr>
                <w:sz w:val="20"/>
              </w:rPr>
              <w:t>kW</w:t>
            </w:r>
          </w:p>
        </w:tc>
      </w:tr>
      <w:tr>
        <w:trPr>
          <w:trHeight w:val="309" w:hRule="atLeast"/>
        </w:trPr>
        <w:tc>
          <w:tcPr>
            <w:tcW w:w="4061" w:type="dxa"/>
          </w:tcPr>
          <w:p>
            <w:pPr>
              <w:pStyle w:val="TableParagraph"/>
              <w:rPr>
                <w:sz w:val="20"/>
              </w:rPr>
            </w:pPr>
            <w:r>
              <w:rPr>
                <w:sz w:val="20"/>
              </w:rPr>
              <w:t>Real Power</w:t>
            </w:r>
          </w:p>
        </w:tc>
        <w:tc>
          <w:tcPr>
            <w:tcW w:w="1282" w:type="dxa"/>
          </w:tcPr>
          <w:p>
            <w:pPr>
              <w:pStyle w:val="TableParagraph"/>
              <w:ind w:left="108"/>
              <w:rPr>
                <w:sz w:val="20"/>
              </w:rPr>
            </w:pPr>
            <w:r>
              <w:rPr>
                <w:sz w:val="20"/>
              </w:rPr>
              <w:t>kW</w:t>
            </w:r>
          </w:p>
        </w:tc>
      </w:tr>
      <w:tr>
        <w:trPr>
          <w:trHeight w:val="309" w:hRule="atLeast"/>
        </w:trPr>
        <w:tc>
          <w:tcPr>
            <w:tcW w:w="4061" w:type="dxa"/>
          </w:tcPr>
          <w:p>
            <w:pPr>
              <w:pStyle w:val="TableParagraph"/>
              <w:rPr>
                <w:sz w:val="20"/>
              </w:rPr>
            </w:pPr>
            <w:r>
              <w:rPr>
                <w:sz w:val="20"/>
              </w:rPr>
              <w:t>Reactive Power</w:t>
            </w:r>
          </w:p>
        </w:tc>
        <w:tc>
          <w:tcPr>
            <w:tcW w:w="1282" w:type="dxa"/>
          </w:tcPr>
          <w:p>
            <w:pPr>
              <w:pStyle w:val="TableParagraph"/>
              <w:ind w:left="108"/>
              <w:rPr>
                <w:sz w:val="20"/>
              </w:rPr>
            </w:pPr>
            <w:r>
              <w:rPr>
                <w:sz w:val="20"/>
              </w:rPr>
              <w:t>kVAR</w:t>
            </w:r>
          </w:p>
        </w:tc>
      </w:tr>
      <w:tr>
        <w:trPr>
          <w:trHeight w:val="311" w:hRule="atLeast"/>
        </w:trPr>
        <w:tc>
          <w:tcPr>
            <w:tcW w:w="4061" w:type="dxa"/>
          </w:tcPr>
          <w:p>
            <w:pPr>
              <w:pStyle w:val="TableParagraph"/>
              <w:rPr>
                <w:sz w:val="20"/>
              </w:rPr>
            </w:pPr>
            <w:r>
              <w:rPr>
                <w:sz w:val="20"/>
              </w:rPr>
              <w:t>Apparent Power</w:t>
            </w:r>
          </w:p>
        </w:tc>
        <w:tc>
          <w:tcPr>
            <w:tcW w:w="1282" w:type="dxa"/>
          </w:tcPr>
          <w:p>
            <w:pPr>
              <w:pStyle w:val="TableParagraph"/>
              <w:ind w:left="108"/>
              <w:rPr>
                <w:sz w:val="20"/>
              </w:rPr>
            </w:pPr>
            <w:r>
              <w:rPr>
                <w:sz w:val="20"/>
              </w:rPr>
              <w:t>kVA</w:t>
            </w:r>
          </w:p>
        </w:tc>
      </w:tr>
      <w:tr>
        <w:trPr>
          <w:trHeight w:val="539" w:hRule="atLeast"/>
        </w:trPr>
        <w:tc>
          <w:tcPr>
            <w:tcW w:w="4061" w:type="dxa"/>
          </w:tcPr>
          <w:p>
            <w:pPr>
              <w:pStyle w:val="TableParagraph"/>
              <w:spacing w:line="229" w:lineRule="exact"/>
              <w:rPr>
                <w:sz w:val="20"/>
              </w:rPr>
            </w:pPr>
            <w:r>
              <w:rPr>
                <w:sz w:val="20"/>
              </w:rPr>
              <w:t>Power Factor</w:t>
            </w:r>
          </w:p>
          <w:p>
            <w:pPr>
              <w:pStyle w:val="TableParagraph"/>
              <w:spacing w:line="229" w:lineRule="exact" w:before="0"/>
              <w:rPr>
                <w:sz w:val="20"/>
              </w:rPr>
            </w:pPr>
            <w:r>
              <w:rPr>
                <w:sz w:val="20"/>
              </w:rPr>
              <w:t>(Ratio of Real Power/Apparent Power)</w:t>
            </w:r>
          </w:p>
        </w:tc>
        <w:tc>
          <w:tcPr>
            <w:tcW w:w="1282" w:type="dxa"/>
          </w:tcPr>
          <w:p>
            <w:pPr>
              <w:pStyle w:val="TableParagraph"/>
              <w:spacing w:before="0"/>
              <w:ind w:left="0"/>
              <w:rPr>
                <w:rFonts w:ascii="Times New Roman"/>
                <w:sz w:val="20"/>
              </w:rPr>
            </w:pPr>
          </w:p>
        </w:tc>
      </w:tr>
      <w:tr>
        <w:trPr>
          <w:trHeight w:val="309" w:hRule="atLeast"/>
        </w:trPr>
        <w:tc>
          <w:tcPr>
            <w:tcW w:w="4061" w:type="dxa"/>
          </w:tcPr>
          <w:p>
            <w:pPr>
              <w:pStyle w:val="TableParagraph"/>
              <w:rPr>
                <w:sz w:val="20"/>
              </w:rPr>
            </w:pPr>
            <w:r>
              <w:rPr>
                <w:sz w:val="20"/>
              </w:rPr>
              <w:t>Voltage, Line to Line</w:t>
            </w:r>
          </w:p>
        </w:tc>
        <w:tc>
          <w:tcPr>
            <w:tcW w:w="1282" w:type="dxa"/>
          </w:tcPr>
          <w:p>
            <w:pPr>
              <w:pStyle w:val="TableParagraph"/>
              <w:ind w:left="108"/>
              <w:rPr>
                <w:sz w:val="20"/>
              </w:rPr>
            </w:pPr>
            <w:r>
              <w:rPr>
                <w:sz w:val="20"/>
              </w:rPr>
              <w:t>Volts</w:t>
            </w:r>
          </w:p>
        </w:tc>
      </w:tr>
      <w:tr>
        <w:trPr>
          <w:trHeight w:val="309" w:hRule="atLeast"/>
        </w:trPr>
        <w:tc>
          <w:tcPr>
            <w:tcW w:w="4061" w:type="dxa"/>
          </w:tcPr>
          <w:p>
            <w:pPr>
              <w:pStyle w:val="TableParagraph"/>
              <w:rPr>
                <w:sz w:val="20"/>
              </w:rPr>
            </w:pPr>
            <w:r>
              <w:rPr>
                <w:sz w:val="20"/>
              </w:rPr>
              <w:t>Voltage, Line to Neutral</w:t>
            </w:r>
          </w:p>
        </w:tc>
        <w:tc>
          <w:tcPr>
            <w:tcW w:w="1282" w:type="dxa"/>
          </w:tcPr>
          <w:p>
            <w:pPr>
              <w:pStyle w:val="TableParagraph"/>
              <w:ind w:left="108"/>
              <w:rPr>
                <w:sz w:val="20"/>
              </w:rPr>
            </w:pPr>
            <w:r>
              <w:rPr>
                <w:sz w:val="20"/>
              </w:rPr>
              <w:t>Volts</w:t>
            </w:r>
          </w:p>
        </w:tc>
      </w:tr>
      <w:tr>
        <w:trPr>
          <w:trHeight w:val="311" w:hRule="atLeast"/>
        </w:trPr>
        <w:tc>
          <w:tcPr>
            <w:tcW w:w="4061" w:type="dxa"/>
          </w:tcPr>
          <w:p>
            <w:pPr>
              <w:pStyle w:val="TableParagraph"/>
              <w:spacing w:before="40"/>
              <w:rPr>
                <w:sz w:val="20"/>
              </w:rPr>
            </w:pPr>
            <w:r>
              <w:rPr>
                <w:sz w:val="20"/>
              </w:rPr>
              <w:t>Current</w:t>
            </w:r>
          </w:p>
        </w:tc>
        <w:tc>
          <w:tcPr>
            <w:tcW w:w="1282" w:type="dxa"/>
          </w:tcPr>
          <w:p>
            <w:pPr>
              <w:pStyle w:val="TableParagraph"/>
              <w:spacing w:before="40"/>
              <w:ind w:left="108"/>
              <w:rPr>
                <w:sz w:val="20"/>
              </w:rPr>
            </w:pPr>
            <w:r>
              <w:rPr>
                <w:sz w:val="20"/>
              </w:rPr>
              <w:t>Amps</w:t>
            </w:r>
          </w:p>
        </w:tc>
      </w:tr>
    </w:tbl>
    <w:p>
      <w:pPr>
        <w:spacing w:after="0"/>
        <w:rPr>
          <w:sz w:val="20"/>
        </w:rPr>
        <w:sectPr>
          <w:type w:val="continuous"/>
          <w:pgSz w:w="12240" w:h="15840"/>
          <w:pgMar w:top="1000" w:bottom="280" w:left="860" w:right="680"/>
        </w:sectPr>
      </w:pPr>
    </w:p>
    <w:p>
      <w:pPr>
        <w:pStyle w:val="BodyText"/>
        <w:spacing w:before="10"/>
        <w:rPr>
          <w:sz w:val="18"/>
        </w:rPr>
      </w:pPr>
    </w:p>
    <w:tbl>
      <w:tblPr>
        <w:tblW w:w="0" w:type="auto"/>
        <w:jc w:val="left"/>
        <w:tblInd w:w="275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4061"/>
        <w:gridCol w:w="1282"/>
      </w:tblGrid>
      <w:tr>
        <w:trPr>
          <w:trHeight w:val="309" w:hRule="atLeast"/>
        </w:trPr>
        <w:tc>
          <w:tcPr>
            <w:tcW w:w="4061" w:type="dxa"/>
            <w:shd w:val="clear" w:color="auto" w:fill="D9D9D9"/>
          </w:tcPr>
          <w:p>
            <w:pPr>
              <w:pStyle w:val="TableParagraph"/>
              <w:spacing w:before="35"/>
              <w:rPr>
                <w:b/>
                <w:sz w:val="20"/>
              </w:rPr>
            </w:pPr>
            <w:r>
              <w:rPr>
                <w:b/>
                <w:sz w:val="20"/>
              </w:rPr>
              <w:t>Variable</w:t>
            </w:r>
          </w:p>
        </w:tc>
        <w:tc>
          <w:tcPr>
            <w:tcW w:w="1282" w:type="dxa"/>
            <w:shd w:val="clear" w:color="auto" w:fill="D9D9D9"/>
          </w:tcPr>
          <w:p>
            <w:pPr>
              <w:pStyle w:val="TableParagraph"/>
              <w:spacing w:before="35"/>
              <w:ind w:left="108"/>
              <w:rPr>
                <w:b/>
                <w:sz w:val="20"/>
              </w:rPr>
            </w:pPr>
            <w:r>
              <w:rPr>
                <w:b/>
                <w:sz w:val="20"/>
              </w:rPr>
              <w:t>Unit</w:t>
            </w:r>
          </w:p>
        </w:tc>
      </w:tr>
      <w:tr>
        <w:trPr>
          <w:trHeight w:val="311" w:hRule="atLeast"/>
        </w:trPr>
        <w:tc>
          <w:tcPr>
            <w:tcW w:w="4061" w:type="dxa"/>
          </w:tcPr>
          <w:p>
            <w:pPr>
              <w:pStyle w:val="TableParagraph"/>
              <w:rPr>
                <w:sz w:val="20"/>
              </w:rPr>
            </w:pPr>
            <w:r>
              <w:rPr>
                <w:sz w:val="20"/>
              </w:rPr>
              <w:t>Average Demand</w:t>
            </w:r>
          </w:p>
        </w:tc>
        <w:tc>
          <w:tcPr>
            <w:tcW w:w="1282" w:type="dxa"/>
          </w:tcPr>
          <w:p>
            <w:pPr>
              <w:pStyle w:val="TableParagraph"/>
              <w:ind w:left="108"/>
              <w:rPr>
                <w:sz w:val="20"/>
              </w:rPr>
            </w:pPr>
            <w:r>
              <w:rPr>
                <w:sz w:val="20"/>
              </w:rPr>
              <w:t>kW</w:t>
            </w:r>
          </w:p>
        </w:tc>
      </w:tr>
      <w:tr>
        <w:trPr>
          <w:trHeight w:val="309" w:hRule="atLeast"/>
        </w:trPr>
        <w:tc>
          <w:tcPr>
            <w:tcW w:w="4061" w:type="dxa"/>
          </w:tcPr>
          <w:p>
            <w:pPr>
              <w:pStyle w:val="TableParagraph"/>
              <w:rPr>
                <w:sz w:val="20"/>
              </w:rPr>
            </w:pPr>
            <w:r>
              <w:rPr>
                <w:sz w:val="20"/>
              </w:rPr>
              <w:t>Minimum Demand</w:t>
            </w:r>
          </w:p>
        </w:tc>
        <w:tc>
          <w:tcPr>
            <w:tcW w:w="1282" w:type="dxa"/>
          </w:tcPr>
          <w:p>
            <w:pPr>
              <w:pStyle w:val="TableParagraph"/>
              <w:ind w:left="108"/>
              <w:rPr>
                <w:sz w:val="20"/>
              </w:rPr>
            </w:pPr>
            <w:r>
              <w:rPr>
                <w:sz w:val="20"/>
              </w:rPr>
              <w:t>kW</w:t>
            </w:r>
          </w:p>
        </w:tc>
      </w:tr>
      <w:tr>
        <w:trPr>
          <w:trHeight w:val="309" w:hRule="atLeast"/>
        </w:trPr>
        <w:tc>
          <w:tcPr>
            <w:tcW w:w="4061" w:type="dxa"/>
          </w:tcPr>
          <w:p>
            <w:pPr>
              <w:pStyle w:val="TableParagraph"/>
              <w:rPr>
                <w:sz w:val="20"/>
              </w:rPr>
            </w:pPr>
            <w:r>
              <w:rPr>
                <w:sz w:val="20"/>
              </w:rPr>
              <w:t>Maximum Demand</w:t>
            </w:r>
          </w:p>
        </w:tc>
        <w:tc>
          <w:tcPr>
            <w:tcW w:w="1282" w:type="dxa"/>
          </w:tcPr>
          <w:p>
            <w:pPr>
              <w:pStyle w:val="TableParagraph"/>
              <w:ind w:left="108"/>
              <w:rPr>
                <w:sz w:val="20"/>
              </w:rPr>
            </w:pPr>
            <w:r>
              <w:rPr>
                <w:sz w:val="20"/>
              </w:rPr>
              <w:t>kW</w:t>
            </w:r>
          </w:p>
        </w:tc>
      </w:tr>
      <w:tr>
        <w:trPr>
          <w:trHeight w:val="311" w:hRule="atLeast"/>
        </w:trPr>
        <w:tc>
          <w:tcPr>
            <w:tcW w:w="4061" w:type="dxa"/>
          </w:tcPr>
          <w:p>
            <w:pPr>
              <w:pStyle w:val="TableParagraph"/>
              <w:rPr>
                <w:sz w:val="20"/>
              </w:rPr>
            </w:pPr>
            <w:r>
              <w:rPr>
                <w:sz w:val="20"/>
              </w:rPr>
              <w:t>Device Number</w:t>
            </w:r>
          </w:p>
        </w:tc>
        <w:tc>
          <w:tcPr>
            <w:tcW w:w="1282" w:type="dxa"/>
          </w:tcPr>
          <w:p>
            <w:pPr>
              <w:pStyle w:val="TableParagraph"/>
              <w:ind w:left="108"/>
              <w:rPr>
                <w:sz w:val="20"/>
              </w:rPr>
            </w:pPr>
            <w:r>
              <w:rPr>
                <w:sz w:val="20"/>
              </w:rPr>
              <w:t>NUMERIC</w:t>
            </w:r>
          </w:p>
        </w:tc>
      </w:tr>
      <w:tr>
        <w:trPr>
          <w:trHeight w:val="309" w:hRule="atLeast"/>
        </w:trPr>
        <w:tc>
          <w:tcPr>
            <w:tcW w:w="4061" w:type="dxa"/>
          </w:tcPr>
          <w:p>
            <w:pPr>
              <w:pStyle w:val="TableParagraph"/>
              <w:rPr>
                <w:sz w:val="20"/>
              </w:rPr>
            </w:pPr>
            <w:r>
              <w:rPr>
                <w:sz w:val="20"/>
              </w:rPr>
              <w:t>Device Type</w:t>
            </w:r>
          </w:p>
        </w:tc>
        <w:tc>
          <w:tcPr>
            <w:tcW w:w="1282" w:type="dxa"/>
          </w:tcPr>
          <w:p>
            <w:pPr>
              <w:pStyle w:val="TableParagraph"/>
              <w:ind w:left="108"/>
              <w:rPr>
                <w:sz w:val="20"/>
              </w:rPr>
            </w:pPr>
            <w:r>
              <w:rPr>
                <w:sz w:val="20"/>
              </w:rPr>
              <w:t>TEXT</w:t>
            </w:r>
          </w:p>
        </w:tc>
      </w:tr>
      <w:tr>
        <w:trPr>
          <w:trHeight w:val="309" w:hRule="atLeast"/>
        </w:trPr>
        <w:tc>
          <w:tcPr>
            <w:tcW w:w="4061" w:type="dxa"/>
          </w:tcPr>
          <w:p>
            <w:pPr>
              <w:pStyle w:val="TableParagraph"/>
              <w:rPr>
                <w:sz w:val="20"/>
              </w:rPr>
            </w:pPr>
            <w:r>
              <w:rPr>
                <w:sz w:val="20"/>
              </w:rPr>
              <w:t>Status</w:t>
            </w:r>
          </w:p>
        </w:tc>
        <w:tc>
          <w:tcPr>
            <w:tcW w:w="1282" w:type="dxa"/>
          </w:tcPr>
          <w:p>
            <w:pPr>
              <w:pStyle w:val="TableParagraph"/>
              <w:ind w:left="108"/>
              <w:rPr>
                <w:sz w:val="20"/>
              </w:rPr>
            </w:pPr>
            <w:r>
              <w:rPr>
                <w:sz w:val="20"/>
              </w:rPr>
              <w:t>TEXT</w:t>
            </w:r>
          </w:p>
        </w:tc>
      </w:tr>
      <w:tr>
        <w:trPr>
          <w:trHeight w:val="311" w:hRule="atLeast"/>
        </w:trPr>
        <w:tc>
          <w:tcPr>
            <w:tcW w:w="4061" w:type="dxa"/>
          </w:tcPr>
          <w:p>
            <w:pPr>
              <w:pStyle w:val="TableParagraph"/>
              <w:rPr>
                <w:sz w:val="20"/>
              </w:rPr>
            </w:pPr>
            <w:r>
              <w:rPr>
                <w:sz w:val="20"/>
              </w:rPr>
              <w:t>Date/Time of last upload</w:t>
            </w:r>
          </w:p>
        </w:tc>
        <w:tc>
          <w:tcPr>
            <w:tcW w:w="1282" w:type="dxa"/>
          </w:tcPr>
          <w:p>
            <w:pPr>
              <w:pStyle w:val="TableParagraph"/>
              <w:ind w:left="108"/>
              <w:rPr>
                <w:sz w:val="20"/>
              </w:rPr>
            </w:pPr>
            <w:r>
              <w:rPr>
                <w:sz w:val="20"/>
              </w:rPr>
              <w:t>DATE/TIME</w:t>
            </w:r>
          </w:p>
        </w:tc>
      </w:tr>
      <w:tr>
        <w:trPr>
          <w:trHeight w:val="309" w:hRule="atLeast"/>
        </w:trPr>
        <w:tc>
          <w:tcPr>
            <w:tcW w:w="4061" w:type="dxa"/>
          </w:tcPr>
          <w:p>
            <w:pPr>
              <w:pStyle w:val="TableParagraph"/>
              <w:rPr>
                <w:sz w:val="20"/>
              </w:rPr>
            </w:pPr>
            <w:r>
              <w:rPr>
                <w:sz w:val="20"/>
              </w:rPr>
              <w:t>Date/Time of last reading</w:t>
            </w:r>
          </w:p>
        </w:tc>
        <w:tc>
          <w:tcPr>
            <w:tcW w:w="1282" w:type="dxa"/>
          </w:tcPr>
          <w:p>
            <w:pPr>
              <w:pStyle w:val="TableParagraph"/>
              <w:ind w:left="108"/>
              <w:rPr>
                <w:sz w:val="20"/>
              </w:rPr>
            </w:pPr>
            <w:r>
              <w:rPr>
                <w:sz w:val="20"/>
              </w:rPr>
              <w:t>DATE/TIME</w:t>
            </w:r>
          </w:p>
        </w:tc>
      </w:tr>
      <w:tr>
        <w:trPr>
          <w:trHeight w:val="309" w:hRule="atLeast"/>
        </w:trPr>
        <w:tc>
          <w:tcPr>
            <w:tcW w:w="4061" w:type="dxa"/>
          </w:tcPr>
          <w:p>
            <w:pPr>
              <w:pStyle w:val="TableParagraph"/>
              <w:rPr>
                <w:sz w:val="20"/>
              </w:rPr>
            </w:pPr>
            <w:r>
              <w:rPr>
                <w:sz w:val="20"/>
              </w:rPr>
              <w:t>Site</w:t>
            </w:r>
          </w:p>
        </w:tc>
        <w:tc>
          <w:tcPr>
            <w:tcW w:w="1282" w:type="dxa"/>
          </w:tcPr>
          <w:p>
            <w:pPr>
              <w:pStyle w:val="TableParagraph"/>
              <w:ind w:left="108"/>
              <w:rPr>
                <w:sz w:val="20"/>
              </w:rPr>
            </w:pPr>
            <w:r>
              <w:rPr>
                <w:sz w:val="20"/>
              </w:rPr>
              <w:t>TEXT</w:t>
            </w:r>
          </w:p>
        </w:tc>
      </w:tr>
      <w:tr>
        <w:trPr>
          <w:trHeight w:val="311" w:hRule="atLeast"/>
        </w:trPr>
        <w:tc>
          <w:tcPr>
            <w:tcW w:w="4061" w:type="dxa"/>
          </w:tcPr>
          <w:p>
            <w:pPr>
              <w:pStyle w:val="TableParagraph"/>
              <w:rPr>
                <w:sz w:val="20"/>
              </w:rPr>
            </w:pPr>
            <w:r>
              <w:rPr>
                <w:sz w:val="20"/>
              </w:rPr>
              <w:t>Sector</w:t>
            </w:r>
          </w:p>
        </w:tc>
        <w:tc>
          <w:tcPr>
            <w:tcW w:w="1282" w:type="dxa"/>
          </w:tcPr>
          <w:p>
            <w:pPr>
              <w:pStyle w:val="TableParagraph"/>
              <w:ind w:left="108"/>
              <w:rPr>
                <w:sz w:val="20"/>
              </w:rPr>
            </w:pPr>
            <w:r>
              <w:rPr>
                <w:sz w:val="20"/>
              </w:rPr>
              <w:t>TEXT</w:t>
            </w:r>
          </w:p>
        </w:tc>
      </w:tr>
      <w:tr>
        <w:trPr>
          <w:trHeight w:val="309" w:hRule="atLeast"/>
        </w:trPr>
        <w:tc>
          <w:tcPr>
            <w:tcW w:w="4061" w:type="dxa"/>
          </w:tcPr>
          <w:p>
            <w:pPr>
              <w:pStyle w:val="TableParagraph"/>
              <w:rPr>
                <w:sz w:val="20"/>
              </w:rPr>
            </w:pPr>
            <w:r>
              <w:rPr>
                <w:sz w:val="20"/>
              </w:rPr>
              <w:t>Location Description</w:t>
            </w:r>
          </w:p>
        </w:tc>
        <w:tc>
          <w:tcPr>
            <w:tcW w:w="1282" w:type="dxa"/>
          </w:tcPr>
          <w:p>
            <w:pPr>
              <w:pStyle w:val="TableParagraph"/>
              <w:ind w:left="108"/>
              <w:rPr>
                <w:sz w:val="20"/>
              </w:rPr>
            </w:pPr>
            <w:r>
              <w:rPr>
                <w:sz w:val="20"/>
              </w:rPr>
              <w:t>TEXT</w:t>
            </w:r>
          </w:p>
        </w:tc>
      </w:tr>
      <w:tr>
        <w:trPr>
          <w:trHeight w:val="309" w:hRule="atLeast"/>
        </w:trPr>
        <w:tc>
          <w:tcPr>
            <w:tcW w:w="4061" w:type="dxa"/>
          </w:tcPr>
          <w:p>
            <w:pPr>
              <w:pStyle w:val="TableParagraph"/>
              <w:rPr>
                <w:sz w:val="20"/>
              </w:rPr>
            </w:pPr>
            <w:r>
              <w:rPr>
                <w:sz w:val="20"/>
              </w:rPr>
              <w:t>Location Number (RPUID)</w:t>
            </w:r>
          </w:p>
        </w:tc>
        <w:tc>
          <w:tcPr>
            <w:tcW w:w="1282" w:type="dxa"/>
          </w:tcPr>
          <w:p>
            <w:pPr>
              <w:pStyle w:val="TableParagraph"/>
              <w:ind w:left="108"/>
              <w:rPr>
                <w:sz w:val="20"/>
              </w:rPr>
            </w:pPr>
            <w:r>
              <w:rPr>
                <w:sz w:val="20"/>
              </w:rPr>
              <w:t>NUMBER</w:t>
            </w:r>
          </w:p>
        </w:tc>
      </w:tr>
    </w:tbl>
    <w:p>
      <w:pPr>
        <w:pStyle w:val="BodyText"/>
        <w:spacing w:before="2"/>
        <w:rPr>
          <w:sz w:val="27"/>
        </w:rPr>
      </w:pPr>
    </w:p>
    <w:p>
      <w:pPr>
        <w:spacing w:before="94"/>
        <w:ind w:left="31" w:right="209" w:firstLine="0"/>
        <w:jc w:val="center"/>
        <w:rPr>
          <w:b/>
          <w:sz w:val="18"/>
        </w:rPr>
      </w:pPr>
      <w:r>
        <w:rPr>
          <w:b/>
          <w:sz w:val="18"/>
        </w:rPr>
        <w:t>Table 3-2: Gas</w:t>
      </w:r>
    </w:p>
    <w:p>
      <w:pPr>
        <w:pStyle w:val="BodyText"/>
        <w:spacing w:before="8"/>
        <w:rPr>
          <w:b/>
          <w:sz w:val="5"/>
        </w:rPr>
      </w:pPr>
    </w:p>
    <w:tbl>
      <w:tblPr>
        <w:tblW w:w="0" w:type="auto"/>
        <w:jc w:val="left"/>
        <w:tblInd w:w="275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4061"/>
        <w:gridCol w:w="1282"/>
      </w:tblGrid>
      <w:tr>
        <w:trPr>
          <w:trHeight w:val="309" w:hRule="atLeast"/>
        </w:trPr>
        <w:tc>
          <w:tcPr>
            <w:tcW w:w="4061" w:type="dxa"/>
            <w:shd w:val="clear" w:color="auto" w:fill="D9D9D9"/>
          </w:tcPr>
          <w:p>
            <w:pPr>
              <w:pStyle w:val="TableParagraph"/>
              <w:spacing w:before="35"/>
              <w:rPr>
                <w:b/>
                <w:sz w:val="20"/>
              </w:rPr>
            </w:pPr>
            <w:r>
              <w:rPr>
                <w:b/>
                <w:sz w:val="20"/>
              </w:rPr>
              <w:t>Variable</w:t>
            </w:r>
          </w:p>
        </w:tc>
        <w:tc>
          <w:tcPr>
            <w:tcW w:w="1282" w:type="dxa"/>
            <w:shd w:val="clear" w:color="auto" w:fill="D9D9D9"/>
          </w:tcPr>
          <w:p>
            <w:pPr>
              <w:pStyle w:val="TableParagraph"/>
              <w:spacing w:before="35"/>
              <w:ind w:left="108"/>
              <w:rPr>
                <w:b/>
                <w:sz w:val="20"/>
              </w:rPr>
            </w:pPr>
            <w:r>
              <w:rPr>
                <w:b/>
                <w:sz w:val="20"/>
              </w:rPr>
              <w:t>Unit</w:t>
            </w:r>
          </w:p>
        </w:tc>
      </w:tr>
      <w:tr>
        <w:trPr>
          <w:trHeight w:val="311" w:hRule="atLeast"/>
        </w:trPr>
        <w:tc>
          <w:tcPr>
            <w:tcW w:w="4061" w:type="dxa"/>
          </w:tcPr>
          <w:p>
            <w:pPr>
              <w:pStyle w:val="TableParagraph"/>
              <w:rPr>
                <w:sz w:val="20"/>
              </w:rPr>
            </w:pPr>
            <w:r>
              <w:rPr>
                <w:sz w:val="20"/>
              </w:rPr>
              <w:t>Volumetric Consumption</w:t>
            </w:r>
          </w:p>
        </w:tc>
        <w:tc>
          <w:tcPr>
            <w:tcW w:w="1282" w:type="dxa"/>
          </w:tcPr>
          <w:p>
            <w:pPr>
              <w:pStyle w:val="TableParagraph"/>
              <w:ind w:left="108"/>
              <w:rPr>
                <w:sz w:val="20"/>
              </w:rPr>
            </w:pPr>
            <w:r>
              <w:rPr>
                <w:sz w:val="20"/>
              </w:rPr>
              <w:t>cuft/hour</w:t>
            </w:r>
          </w:p>
        </w:tc>
      </w:tr>
      <w:tr>
        <w:trPr>
          <w:trHeight w:val="309" w:hRule="atLeast"/>
        </w:trPr>
        <w:tc>
          <w:tcPr>
            <w:tcW w:w="4061" w:type="dxa"/>
          </w:tcPr>
          <w:p>
            <w:pPr>
              <w:pStyle w:val="TableParagraph"/>
              <w:rPr>
                <w:sz w:val="20"/>
              </w:rPr>
            </w:pPr>
            <w:r>
              <w:rPr>
                <w:sz w:val="20"/>
              </w:rPr>
              <w:t>Gas Ave Rate</w:t>
            </w:r>
          </w:p>
        </w:tc>
        <w:tc>
          <w:tcPr>
            <w:tcW w:w="1282" w:type="dxa"/>
          </w:tcPr>
          <w:p>
            <w:pPr>
              <w:pStyle w:val="TableParagraph"/>
              <w:ind w:left="108"/>
              <w:rPr>
                <w:sz w:val="20"/>
              </w:rPr>
            </w:pPr>
            <w:r>
              <w:rPr>
                <w:sz w:val="20"/>
              </w:rPr>
              <w:t>cuft/hour</w:t>
            </w:r>
          </w:p>
        </w:tc>
      </w:tr>
      <w:tr>
        <w:trPr>
          <w:trHeight w:val="309" w:hRule="atLeast"/>
        </w:trPr>
        <w:tc>
          <w:tcPr>
            <w:tcW w:w="4061" w:type="dxa"/>
          </w:tcPr>
          <w:p>
            <w:pPr>
              <w:pStyle w:val="TableParagraph"/>
              <w:rPr>
                <w:sz w:val="20"/>
              </w:rPr>
            </w:pPr>
            <w:r>
              <w:rPr>
                <w:sz w:val="20"/>
              </w:rPr>
              <w:t>Gas Instantaneous Rate</w:t>
            </w:r>
          </w:p>
        </w:tc>
        <w:tc>
          <w:tcPr>
            <w:tcW w:w="1282" w:type="dxa"/>
          </w:tcPr>
          <w:p>
            <w:pPr>
              <w:pStyle w:val="TableParagraph"/>
              <w:ind w:left="108"/>
              <w:rPr>
                <w:sz w:val="20"/>
              </w:rPr>
            </w:pPr>
            <w:r>
              <w:rPr>
                <w:sz w:val="20"/>
              </w:rPr>
              <w:t>cuft/hour</w:t>
            </w:r>
          </w:p>
        </w:tc>
      </w:tr>
      <w:tr>
        <w:trPr>
          <w:trHeight w:val="309" w:hRule="atLeast"/>
        </w:trPr>
        <w:tc>
          <w:tcPr>
            <w:tcW w:w="4061" w:type="dxa"/>
          </w:tcPr>
          <w:p>
            <w:pPr>
              <w:pStyle w:val="TableParagraph"/>
              <w:rPr>
                <w:sz w:val="20"/>
              </w:rPr>
            </w:pPr>
            <w:r>
              <w:rPr>
                <w:sz w:val="20"/>
              </w:rPr>
              <w:t>Gas Min Rate</w:t>
            </w:r>
          </w:p>
        </w:tc>
        <w:tc>
          <w:tcPr>
            <w:tcW w:w="1282" w:type="dxa"/>
          </w:tcPr>
          <w:p>
            <w:pPr>
              <w:pStyle w:val="TableParagraph"/>
              <w:ind w:left="108"/>
              <w:rPr>
                <w:sz w:val="20"/>
              </w:rPr>
            </w:pPr>
            <w:r>
              <w:rPr>
                <w:sz w:val="20"/>
              </w:rPr>
              <w:t>cuft/hour</w:t>
            </w:r>
          </w:p>
        </w:tc>
      </w:tr>
      <w:tr>
        <w:trPr>
          <w:trHeight w:val="311" w:hRule="atLeast"/>
        </w:trPr>
        <w:tc>
          <w:tcPr>
            <w:tcW w:w="4061" w:type="dxa"/>
          </w:tcPr>
          <w:p>
            <w:pPr>
              <w:pStyle w:val="TableParagraph"/>
              <w:spacing w:before="40"/>
              <w:rPr>
                <w:sz w:val="20"/>
              </w:rPr>
            </w:pPr>
            <w:r>
              <w:rPr>
                <w:sz w:val="20"/>
              </w:rPr>
              <w:t>Gas Max</w:t>
            </w:r>
          </w:p>
        </w:tc>
        <w:tc>
          <w:tcPr>
            <w:tcW w:w="1282" w:type="dxa"/>
          </w:tcPr>
          <w:p>
            <w:pPr>
              <w:pStyle w:val="TableParagraph"/>
              <w:spacing w:before="40"/>
              <w:ind w:left="108"/>
              <w:rPr>
                <w:sz w:val="20"/>
              </w:rPr>
            </w:pPr>
            <w:r>
              <w:rPr>
                <w:sz w:val="20"/>
              </w:rPr>
              <w:t>cuft/hour</w:t>
            </w:r>
          </w:p>
        </w:tc>
      </w:tr>
      <w:tr>
        <w:trPr>
          <w:trHeight w:val="309" w:hRule="atLeast"/>
        </w:trPr>
        <w:tc>
          <w:tcPr>
            <w:tcW w:w="4061" w:type="dxa"/>
          </w:tcPr>
          <w:p>
            <w:pPr>
              <w:pStyle w:val="TableParagraph"/>
              <w:rPr>
                <w:sz w:val="20"/>
              </w:rPr>
            </w:pPr>
            <w:r>
              <w:rPr>
                <w:sz w:val="20"/>
              </w:rPr>
              <w:t>Device Number</w:t>
            </w:r>
          </w:p>
        </w:tc>
        <w:tc>
          <w:tcPr>
            <w:tcW w:w="1282" w:type="dxa"/>
          </w:tcPr>
          <w:p>
            <w:pPr>
              <w:pStyle w:val="TableParagraph"/>
              <w:spacing w:before="0"/>
              <w:ind w:left="108"/>
              <w:rPr>
                <w:sz w:val="20"/>
              </w:rPr>
            </w:pPr>
            <w:r>
              <w:rPr>
                <w:sz w:val="20"/>
              </w:rPr>
              <w:t>NUMERIC</w:t>
            </w:r>
          </w:p>
        </w:tc>
      </w:tr>
      <w:tr>
        <w:trPr>
          <w:trHeight w:val="309" w:hRule="atLeast"/>
        </w:trPr>
        <w:tc>
          <w:tcPr>
            <w:tcW w:w="4061" w:type="dxa"/>
          </w:tcPr>
          <w:p>
            <w:pPr>
              <w:pStyle w:val="TableParagraph"/>
              <w:rPr>
                <w:sz w:val="20"/>
              </w:rPr>
            </w:pPr>
            <w:r>
              <w:rPr>
                <w:sz w:val="20"/>
              </w:rPr>
              <w:t>Device Type</w:t>
            </w:r>
          </w:p>
        </w:tc>
        <w:tc>
          <w:tcPr>
            <w:tcW w:w="1282" w:type="dxa"/>
          </w:tcPr>
          <w:p>
            <w:pPr>
              <w:pStyle w:val="TableParagraph"/>
              <w:spacing w:line="229" w:lineRule="exact" w:before="0"/>
              <w:ind w:left="108"/>
              <w:rPr>
                <w:sz w:val="20"/>
              </w:rPr>
            </w:pPr>
            <w:r>
              <w:rPr>
                <w:sz w:val="20"/>
              </w:rPr>
              <w:t>TEXT</w:t>
            </w:r>
          </w:p>
        </w:tc>
      </w:tr>
      <w:tr>
        <w:trPr>
          <w:trHeight w:val="311" w:hRule="atLeast"/>
        </w:trPr>
        <w:tc>
          <w:tcPr>
            <w:tcW w:w="4061" w:type="dxa"/>
          </w:tcPr>
          <w:p>
            <w:pPr>
              <w:pStyle w:val="TableParagraph"/>
              <w:spacing w:before="40"/>
              <w:rPr>
                <w:sz w:val="20"/>
              </w:rPr>
            </w:pPr>
            <w:r>
              <w:rPr>
                <w:sz w:val="20"/>
              </w:rPr>
              <w:t>Status</w:t>
            </w:r>
          </w:p>
        </w:tc>
        <w:tc>
          <w:tcPr>
            <w:tcW w:w="1282" w:type="dxa"/>
          </w:tcPr>
          <w:p>
            <w:pPr>
              <w:pStyle w:val="TableParagraph"/>
              <w:spacing w:line="229" w:lineRule="exact" w:before="0"/>
              <w:ind w:left="108"/>
              <w:rPr>
                <w:sz w:val="20"/>
              </w:rPr>
            </w:pPr>
            <w:r>
              <w:rPr>
                <w:sz w:val="20"/>
              </w:rPr>
              <w:t>TEXT</w:t>
            </w:r>
          </w:p>
        </w:tc>
      </w:tr>
      <w:tr>
        <w:trPr>
          <w:trHeight w:val="309" w:hRule="atLeast"/>
        </w:trPr>
        <w:tc>
          <w:tcPr>
            <w:tcW w:w="4061" w:type="dxa"/>
          </w:tcPr>
          <w:p>
            <w:pPr>
              <w:pStyle w:val="TableParagraph"/>
              <w:rPr>
                <w:sz w:val="20"/>
              </w:rPr>
            </w:pPr>
            <w:r>
              <w:rPr>
                <w:sz w:val="20"/>
              </w:rPr>
              <w:t>Date/Time of last upload</w:t>
            </w:r>
          </w:p>
        </w:tc>
        <w:tc>
          <w:tcPr>
            <w:tcW w:w="1282" w:type="dxa"/>
          </w:tcPr>
          <w:p>
            <w:pPr>
              <w:pStyle w:val="TableParagraph"/>
              <w:spacing w:line="229" w:lineRule="exact" w:before="0"/>
              <w:ind w:left="108"/>
              <w:rPr>
                <w:sz w:val="20"/>
              </w:rPr>
            </w:pPr>
            <w:r>
              <w:rPr>
                <w:sz w:val="20"/>
              </w:rPr>
              <w:t>DATE/TIME</w:t>
            </w:r>
          </w:p>
        </w:tc>
      </w:tr>
      <w:tr>
        <w:trPr>
          <w:trHeight w:val="309" w:hRule="atLeast"/>
        </w:trPr>
        <w:tc>
          <w:tcPr>
            <w:tcW w:w="4061" w:type="dxa"/>
          </w:tcPr>
          <w:p>
            <w:pPr>
              <w:pStyle w:val="TableParagraph"/>
              <w:rPr>
                <w:sz w:val="20"/>
              </w:rPr>
            </w:pPr>
            <w:r>
              <w:rPr>
                <w:sz w:val="20"/>
              </w:rPr>
              <w:t>Date/Time of last reading</w:t>
            </w:r>
          </w:p>
        </w:tc>
        <w:tc>
          <w:tcPr>
            <w:tcW w:w="1282" w:type="dxa"/>
          </w:tcPr>
          <w:p>
            <w:pPr>
              <w:pStyle w:val="TableParagraph"/>
              <w:spacing w:line="229" w:lineRule="exact" w:before="0"/>
              <w:ind w:left="108"/>
              <w:rPr>
                <w:sz w:val="20"/>
              </w:rPr>
            </w:pPr>
            <w:r>
              <w:rPr>
                <w:sz w:val="20"/>
              </w:rPr>
              <w:t>DATE/TIME</w:t>
            </w:r>
          </w:p>
        </w:tc>
      </w:tr>
      <w:tr>
        <w:trPr>
          <w:trHeight w:val="311" w:hRule="atLeast"/>
        </w:trPr>
        <w:tc>
          <w:tcPr>
            <w:tcW w:w="4061" w:type="dxa"/>
          </w:tcPr>
          <w:p>
            <w:pPr>
              <w:pStyle w:val="TableParagraph"/>
              <w:spacing w:before="40"/>
              <w:rPr>
                <w:sz w:val="20"/>
              </w:rPr>
            </w:pPr>
            <w:r>
              <w:rPr>
                <w:sz w:val="20"/>
              </w:rPr>
              <w:t>Site</w:t>
            </w:r>
          </w:p>
        </w:tc>
        <w:tc>
          <w:tcPr>
            <w:tcW w:w="1282" w:type="dxa"/>
          </w:tcPr>
          <w:p>
            <w:pPr>
              <w:pStyle w:val="TableParagraph"/>
              <w:spacing w:line="229" w:lineRule="exact" w:before="0"/>
              <w:ind w:left="108"/>
              <w:rPr>
                <w:sz w:val="20"/>
              </w:rPr>
            </w:pPr>
            <w:r>
              <w:rPr>
                <w:sz w:val="20"/>
              </w:rPr>
              <w:t>TEXT</w:t>
            </w:r>
          </w:p>
        </w:tc>
      </w:tr>
      <w:tr>
        <w:trPr>
          <w:trHeight w:val="309" w:hRule="atLeast"/>
        </w:trPr>
        <w:tc>
          <w:tcPr>
            <w:tcW w:w="4061" w:type="dxa"/>
          </w:tcPr>
          <w:p>
            <w:pPr>
              <w:pStyle w:val="TableParagraph"/>
              <w:rPr>
                <w:sz w:val="20"/>
              </w:rPr>
            </w:pPr>
            <w:r>
              <w:rPr>
                <w:sz w:val="20"/>
              </w:rPr>
              <w:t>Sector</w:t>
            </w:r>
          </w:p>
        </w:tc>
        <w:tc>
          <w:tcPr>
            <w:tcW w:w="1282" w:type="dxa"/>
          </w:tcPr>
          <w:p>
            <w:pPr>
              <w:pStyle w:val="TableParagraph"/>
              <w:spacing w:line="229" w:lineRule="exact" w:before="0"/>
              <w:ind w:left="108"/>
              <w:rPr>
                <w:sz w:val="20"/>
              </w:rPr>
            </w:pPr>
            <w:r>
              <w:rPr>
                <w:sz w:val="20"/>
              </w:rPr>
              <w:t>TEXT</w:t>
            </w:r>
          </w:p>
        </w:tc>
      </w:tr>
      <w:tr>
        <w:trPr>
          <w:trHeight w:val="309" w:hRule="atLeast"/>
        </w:trPr>
        <w:tc>
          <w:tcPr>
            <w:tcW w:w="4061" w:type="dxa"/>
          </w:tcPr>
          <w:p>
            <w:pPr>
              <w:pStyle w:val="TableParagraph"/>
              <w:rPr>
                <w:sz w:val="20"/>
              </w:rPr>
            </w:pPr>
            <w:r>
              <w:rPr>
                <w:sz w:val="20"/>
              </w:rPr>
              <w:t>Location Description</w:t>
            </w:r>
          </w:p>
        </w:tc>
        <w:tc>
          <w:tcPr>
            <w:tcW w:w="1282" w:type="dxa"/>
          </w:tcPr>
          <w:p>
            <w:pPr>
              <w:pStyle w:val="TableParagraph"/>
              <w:spacing w:line="229" w:lineRule="exact" w:before="0"/>
              <w:ind w:left="108"/>
              <w:rPr>
                <w:sz w:val="20"/>
              </w:rPr>
            </w:pPr>
            <w:r>
              <w:rPr>
                <w:sz w:val="20"/>
              </w:rPr>
              <w:t>TEXT</w:t>
            </w:r>
          </w:p>
        </w:tc>
      </w:tr>
      <w:tr>
        <w:trPr>
          <w:trHeight w:val="311" w:hRule="atLeast"/>
        </w:trPr>
        <w:tc>
          <w:tcPr>
            <w:tcW w:w="4061" w:type="dxa"/>
          </w:tcPr>
          <w:p>
            <w:pPr>
              <w:pStyle w:val="TableParagraph"/>
              <w:spacing w:before="40"/>
              <w:rPr>
                <w:sz w:val="20"/>
              </w:rPr>
            </w:pPr>
            <w:r>
              <w:rPr>
                <w:sz w:val="20"/>
              </w:rPr>
              <w:t>Location Number</w:t>
            </w:r>
          </w:p>
        </w:tc>
        <w:tc>
          <w:tcPr>
            <w:tcW w:w="1282" w:type="dxa"/>
          </w:tcPr>
          <w:p>
            <w:pPr>
              <w:pStyle w:val="TableParagraph"/>
              <w:spacing w:line="229" w:lineRule="exact" w:before="0"/>
              <w:ind w:left="108"/>
              <w:rPr>
                <w:sz w:val="20"/>
              </w:rPr>
            </w:pPr>
            <w:r>
              <w:rPr>
                <w:sz w:val="20"/>
              </w:rPr>
              <w:t>NUMBER</w:t>
            </w:r>
          </w:p>
        </w:tc>
      </w:tr>
    </w:tbl>
    <w:p>
      <w:pPr>
        <w:spacing w:after="0" w:line="229" w:lineRule="exact"/>
        <w:rPr>
          <w:sz w:val="20"/>
        </w:rPr>
        <w:sectPr>
          <w:pgSz w:w="12240" w:h="15840"/>
          <w:pgMar w:header="724" w:footer="1020" w:top="1220" w:bottom="1220" w:left="860" w:right="680"/>
        </w:sectPr>
      </w:pPr>
    </w:p>
    <w:p>
      <w:pPr>
        <w:pStyle w:val="BodyText"/>
        <w:spacing w:before="2"/>
        <w:rPr>
          <w:b/>
          <w:sz w:val="10"/>
        </w:rPr>
      </w:pPr>
    </w:p>
    <w:p>
      <w:pPr>
        <w:spacing w:before="94"/>
        <w:ind w:left="31" w:right="206" w:firstLine="0"/>
        <w:jc w:val="center"/>
        <w:rPr>
          <w:sz w:val="18"/>
        </w:rPr>
      </w:pPr>
      <w:r>
        <w:rPr>
          <w:b/>
          <w:sz w:val="18"/>
        </w:rPr>
        <w:t>Table 3-3: </w:t>
      </w:r>
      <w:r>
        <w:rPr>
          <w:sz w:val="18"/>
        </w:rPr>
        <w:t>Water</w:t>
      </w:r>
    </w:p>
    <w:p>
      <w:pPr>
        <w:pStyle w:val="BodyText"/>
        <w:spacing w:before="8"/>
        <w:rPr>
          <w:sz w:val="5"/>
        </w:rPr>
      </w:pPr>
    </w:p>
    <w:tbl>
      <w:tblPr>
        <w:tblW w:w="0" w:type="auto"/>
        <w:jc w:val="left"/>
        <w:tblInd w:w="275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4061"/>
        <w:gridCol w:w="1282"/>
      </w:tblGrid>
      <w:tr>
        <w:trPr>
          <w:trHeight w:val="311" w:hRule="atLeast"/>
        </w:trPr>
        <w:tc>
          <w:tcPr>
            <w:tcW w:w="4061" w:type="dxa"/>
            <w:shd w:val="clear" w:color="auto" w:fill="D9D9D9"/>
          </w:tcPr>
          <w:p>
            <w:pPr>
              <w:pStyle w:val="TableParagraph"/>
              <w:spacing w:before="35"/>
              <w:rPr>
                <w:b/>
                <w:sz w:val="20"/>
              </w:rPr>
            </w:pPr>
            <w:r>
              <w:rPr>
                <w:b/>
                <w:sz w:val="20"/>
              </w:rPr>
              <w:t>Variable</w:t>
            </w:r>
          </w:p>
        </w:tc>
        <w:tc>
          <w:tcPr>
            <w:tcW w:w="1282" w:type="dxa"/>
            <w:shd w:val="clear" w:color="auto" w:fill="D9D9D9"/>
          </w:tcPr>
          <w:p>
            <w:pPr>
              <w:pStyle w:val="TableParagraph"/>
              <w:spacing w:before="35"/>
              <w:ind w:left="108"/>
              <w:rPr>
                <w:b/>
                <w:sz w:val="20"/>
              </w:rPr>
            </w:pPr>
            <w:r>
              <w:rPr>
                <w:b/>
                <w:sz w:val="20"/>
              </w:rPr>
              <w:t>Unit</w:t>
            </w:r>
          </w:p>
        </w:tc>
      </w:tr>
      <w:tr>
        <w:trPr>
          <w:trHeight w:val="309" w:hRule="atLeast"/>
        </w:trPr>
        <w:tc>
          <w:tcPr>
            <w:tcW w:w="4061" w:type="dxa"/>
          </w:tcPr>
          <w:p>
            <w:pPr>
              <w:pStyle w:val="TableParagraph"/>
              <w:rPr>
                <w:sz w:val="20"/>
              </w:rPr>
            </w:pPr>
            <w:r>
              <w:rPr>
                <w:sz w:val="20"/>
              </w:rPr>
              <w:t>Volumetric Consumption</w:t>
            </w:r>
          </w:p>
        </w:tc>
        <w:tc>
          <w:tcPr>
            <w:tcW w:w="1282" w:type="dxa"/>
          </w:tcPr>
          <w:p>
            <w:pPr>
              <w:pStyle w:val="TableParagraph"/>
              <w:ind w:left="108"/>
              <w:rPr>
                <w:sz w:val="20"/>
              </w:rPr>
            </w:pPr>
            <w:r>
              <w:rPr>
                <w:sz w:val="20"/>
              </w:rPr>
              <w:t>GPM</w:t>
            </w:r>
          </w:p>
        </w:tc>
      </w:tr>
      <w:tr>
        <w:trPr>
          <w:trHeight w:val="309" w:hRule="atLeast"/>
        </w:trPr>
        <w:tc>
          <w:tcPr>
            <w:tcW w:w="4061" w:type="dxa"/>
          </w:tcPr>
          <w:p>
            <w:pPr>
              <w:pStyle w:val="TableParagraph"/>
              <w:rPr>
                <w:sz w:val="20"/>
              </w:rPr>
            </w:pPr>
            <w:r>
              <w:rPr>
                <w:sz w:val="20"/>
              </w:rPr>
              <w:t>Water Average Rate</w:t>
            </w:r>
          </w:p>
        </w:tc>
        <w:tc>
          <w:tcPr>
            <w:tcW w:w="1282" w:type="dxa"/>
          </w:tcPr>
          <w:p>
            <w:pPr>
              <w:pStyle w:val="TableParagraph"/>
              <w:ind w:left="108"/>
              <w:rPr>
                <w:sz w:val="20"/>
              </w:rPr>
            </w:pPr>
            <w:r>
              <w:rPr>
                <w:sz w:val="20"/>
              </w:rPr>
              <w:t>GPM</w:t>
            </w:r>
          </w:p>
        </w:tc>
      </w:tr>
      <w:tr>
        <w:trPr>
          <w:trHeight w:val="311" w:hRule="atLeast"/>
        </w:trPr>
        <w:tc>
          <w:tcPr>
            <w:tcW w:w="4061" w:type="dxa"/>
          </w:tcPr>
          <w:p>
            <w:pPr>
              <w:pStyle w:val="TableParagraph"/>
              <w:rPr>
                <w:sz w:val="20"/>
              </w:rPr>
            </w:pPr>
            <w:r>
              <w:rPr>
                <w:sz w:val="20"/>
              </w:rPr>
              <w:t>Water Instantaneous Flow Rate</w:t>
            </w:r>
          </w:p>
        </w:tc>
        <w:tc>
          <w:tcPr>
            <w:tcW w:w="1282" w:type="dxa"/>
          </w:tcPr>
          <w:p>
            <w:pPr>
              <w:pStyle w:val="TableParagraph"/>
              <w:ind w:left="108"/>
              <w:rPr>
                <w:sz w:val="20"/>
              </w:rPr>
            </w:pPr>
            <w:r>
              <w:rPr>
                <w:sz w:val="20"/>
              </w:rPr>
              <w:t>GPM</w:t>
            </w:r>
          </w:p>
        </w:tc>
      </w:tr>
      <w:tr>
        <w:trPr>
          <w:trHeight w:val="309" w:hRule="atLeast"/>
        </w:trPr>
        <w:tc>
          <w:tcPr>
            <w:tcW w:w="4061" w:type="dxa"/>
          </w:tcPr>
          <w:p>
            <w:pPr>
              <w:pStyle w:val="TableParagraph"/>
              <w:rPr>
                <w:sz w:val="20"/>
              </w:rPr>
            </w:pPr>
            <w:r>
              <w:rPr>
                <w:sz w:val="20"/>
              </w:rPr>
              <w:t>Water Min Rate</w:t>
            </w:r>
          </w:p>
        </w:tc>
        <w:tc>
          <w:tcPr>
            <w:tcW w:w="1282" w:type="dxa"/>
          </w:tcPr>
          <w:p>
            <w:pPr>
              <w:pStyle w:val="TableParagraph"/>
              <w:ind w:left="108"/>
              <w:rPr>
                <w:sz w:val="20"/>
              </w:rPr>
            </w:pPr>
            <w:r>
              <w:rPr>
                <w:sz w:val="20"/>
              </w:rPr>
              <w:t>GPM</w:t>
            </w:r>
          </w:p>
        </w:tc>
      </w:tr>
      <w:tr>
        <w:trPr>
          <w:trHeight w:val="309" w:hRule="atLeast"/>
        </w:trPr>
        <w:tc>
          <w:tcPr>
            <w:tcW w:w="4061" w:type="dxa"/>
          </w:tcPr>
          <w:p>
            <w:pPr>
              <w:pStyle w:val="TableParagraph"/>
              <w:rPr>
                <w:sz w:val="20"/>
              </w:rPr>
            </w:pPr>
            <w:r>
              <w:rPr>
                <w:sz w:val="20"/>
              </w:rPr>
              <w:t>Water Max Flow Rate</w:t>
            </w:r>
          </w:p>
        </w:tc>
        <w:tc>
          <w:tcPr>
            <w:tcW w:w="1282" w:type="dxa"/>
          </w:tcPr>
          <w:p>
            <w:pPr>
              <w:pStyle w:val="TableParagraph"/>
              <w:ind w:left="108"/>
              <w:rPr>
                <w:sz w:val="20"/>
              </w:rPr>
            </w:pPr>
            <w:r>
              <w:rPr>
                <w:sz w:val="20"/>
              </w:rPr>
              <w:t>GPM</w:t>
            </w:r>
          </w:p>
        </w:tc>
      </w:tr>
      <w:tr>
        <w:trPr>
          <w:trHeight w:val="311" w:hRule="atLeast"/>
        </w:trPr>
        <w:tc>
          <w:tcPr>
            <w:tcW w:w="4061" w:type="dxa"/>
          </w:tcPr>
          <w:p>
            <w:pPr>
              <w:pStyle w:val="TableParagraph"/>
              <w:rPr>
                <w:sz w:val="20"/>
              </w:rPr>
            </w:pPr>
            <w:r>
              <w:rPr>
                <w:sz w:val="20"/>
              </w:rPr>
              <w:t>Device Number</w:t>
            </w:r>
          </w:p>
        </w:tc>
        <w:tc>
          <w:tcPr>
            <w:tcW w:w="1282" w:type="dxa"/>
          </w:tcPr>
          <w:p>
            <w:pPr>
              <w:pStyle w:val="TableParagraph"/>
              <w:spacing w:line="229" w:lineRule="exact" w:before="0"/>
              <w:ind w:left="108"/>
              <w:rPr>
                <w:sz w:val="20"/>
              </w:rPr>
            </w:pPr>
            <w:r>
              <w:rPr>
                <w:sz w:val="20"/>
              </w:rPr>
              <w:t>NUMERIC</w:t>
            </w:r>
          </w:p>
        </w:tc>
      </w:tr>
      <w:tr>
        <w:trPr>
          <w:trHeight w:val="309" w:hRule="atLeast"/>
        </w:trPr>
        <w:tc>
          <w:tcPr>
            <w:tcW w:w="4061" w:type="dxa"/>
          </w:tcPr>
          <w:p>
            <w:pPr>
              <w:pStyle w:val="TableParagraph"/>
              <w:rPr>
                <w:sz w:val="20"/>
              </w:rPr>
            </w:pPr>
            <w:r>
              <w:rPr>
                <w:sz w:val="20"/>
              </w:rPr>
              <w:t>Device Type</w:t>
            </w:r>
          </w:p>
        </w:tc>
        <w:tc>
          <w:tcPr>
            <w:tcW w:w="1282" w:type="dxa"/>
          </w:tcPr>
          <w:p>
            <w:pPr>
              <w:pStyle w:val="TableParagraph"/>
              <w:spacing w:line="229" w:lineRule="exact" w:before="0"/>
              <w:ind w:left="108"/>
              <w:rPr>
                <w:sz w:val="20"/>
              </w:rPr>
            </w:pPr>
            <w:r>
              <w:rPr>
                <w:sz w:val="20"/>
              </w:rPr>
              <w:t>TEXT</w:t>
            </w:r>
          </w:p>
        </w:tc>
      </w:tr>
      <w:tr>
        <w:trPr>
          <w:trHeight w:val="309" w:hRule="atLeast"/>
        </w:trPr>
        <w:tc>
          <w:tcPr>
            <w:tcW w:w="4061" w:type="dxa"/>
          </w:tcPr>
          <w:p>
            <w:pPr>
              <w:pStyle w:val="TableParagraph"/>
              <w:rPr>
                <w:sz w:val="20"/>
              </w:rPr>
            </w:pPr>
            <w:r>
              <w:rPr>
                <w:sz w:val="20"/>
              </w:rPr>
              <w:t>Status</w:t>
            </w:r>
          </w:p>
        </w:tc>
        <w:tc>
          <w:tcPr>
            <w:tcW w:w="1282" w:type="dxa"/>
          </w:tcPr>
          <w:p>
            <w:pPr>
              <w:pStyle w:val="TableParagraph"/>
              <w:spacing w:line="229" w:lineRule="exact" w:before="0"/>
              <w:ind w:left="108"/>
              <w:rPr>
                <w:sz w:val="20"/>
              </w:rPr>
            </w:pPr>
            <w:r>
              <w:rPr>
                <w:sz w:val="20"/>
              </w:rPr>
              <w:t>TEXT</w:t>
            </w:r>
          </w:p>
        </w:tc>
      </w:tr>
      <w:tr>
        <w:trPr>
          <w:trHeight w:val="309" w:hRule="atLeast"/>
        </w:trPr>
        <w:tc>
          <w:tcPr>
            <w:tcW w:w="4061" w:type="dxa"/>
          </w:tcPr>
          <w:p>
            <w:pPr>
              <w:pStyle w:val="TableParagraph"/>
              <w:rPr>
                <w:sz w:val="20"/>
              </w:rPr>
            </w:pPr>
            <w:r>
              <w:rPr>
                <w:sz w:val="20"/>
              </w:rPr>
              <w:t>Date/Time of last upload</w:t>
            </w:r>
          </w:p>
        </w:tc>
        <w:tc>
          <w:tcPr>
            <w:tcW w:w="1282" w:type="dxa"/>
          </w:tcPr>
          <w:p>
            <w:pPr>
              <w:pStyle w:val="TableParagraph"/>
              <w:spacing w:line="229" w:lineRule="exact" w:before="0"/>
              <w:ind w:left="108"/>
              <w:rPr>
                <w:sz w:val="20"/>
              </w:rPr>
            </w:pPr>
            <w:r>
              <w:rPr>
                <w:sz w:val="20"/>
              </w:rPr>
              <w:t>DATE/TIME</w:t>
            </w:r>
          </w:p>
        </w:tc>
      </w:tr>
      <w:tr>
        <w:trPr>
          <w:trHeight w:val="312" w:hRule="atLeast"/>
        </w:trPr>
        <w:tc>
          <w:tcPr>
            <w:tcW w:w="4061" w:type="dxa"/>
          </w:tcPr>
          <w:p>
            <w:pPr>
              <w:pStyle w:val="TableParagraph"/>
              <w:spacing w:before="41"/>
              <w:rPr>
                <w:sz w:val="20"/>
              </w:rPr>
            </w:pPr>
            <w:r>
              <w:rPr>
                <w:sz w:val="20"/>
              </w:rPr>
              <w:t>Date/Time of last reading</w:t>
            </w:r>
          </w:p>
        </w:tc>
        <w:tc>
          <w:tcPr>
            <w:tcW w:w="1282" w:type="dxa"/>
          </w:tcPr>
          <w:p>
            <w:pPr>
              <w:pStyle w:val="TableParagraph"/>
              <w:spacing w:before="0"/>
              <w:ind w:left="108"/>
              <w:rPr>
                <w:sz w:val="20"/>
              </w:rPr>
            </w:pPr>
            <w:r>
              <w:rPr>
                <w:sz w:val="20"/>
              </w:rPr>
              <w:t>DATE/TIME</w:t>
            </w:r>
          </w:p>
        </w:tc>
      </w:tr>
      <w:tr>
        <w:trPr>
          <w:trHeight w:val="309" w:hRule="atLeast"/>
        </w:trPr>
        <w:tc>
          <w:tcPr>
            <w:tcW w:w="4061" w:type="dxa"/>
          </w:tcPr>
          <w:p>
            <w:pPr>
              <w:pStyle w:val="TableParagraph"/>
              <w:rPr>
                <w:sz w:val="20"/>
              </w:rPr>
            </w:pPr>
            <w:r>
              <w:rPr>
                <w:sz w:val="20"/>
              </w:rPr>
              <w:t>Site</w:t>
            </w:r>
          </w:p>
        </w:tc>
        <w:tc>
          <w:tcPr>
            <w:tcW w:w="1282" w:type="dxa"/>
          </w:tcPr>
          <w:p>
            <w:pPr>
              <w:pStyle w:val="TableParagraph"/>
              <w:spacing w:line="229" w:lineRule="exact" w:before="0"/>
              <w:ind w:left="108"/>
              <w:rPr>
                <w:sz w:val="20"/>
              </w:rPr>
            </w:pPr>
            <w:r>
              <w:rPr>
                <w:sz w:val="20"/>
              </w:rPr>
              <w:t>TEXT</w:t>
            </w:r>
          </w:p>
        </w:tc>
      </w:tr>
      <w:tr>
        <w:trPr>
          <w:trHeight w:val="309" w:hRule="atLeast"/>
        </w:trPr>
        <w:tc>
          <w:tcPr>
            <w:tcW w:w="4061" w:type="dxa"/>
          </w:tcPr>
          <w:p>
            <w:pPr>
              <w:pStyle w:val="TableParagraph"/>
              <w:rPr>
                <w:sz w:val="20"/>
              </w:rPr>
            </w:pPr>
            <w:r>
              <w:rPr>
                <w:sz w:val="20"/>
              </w:rPr>
              <w:t>Sector</w:t>
            </w:r>
          </w:p>
        </w:tc>
        <w:tc>
          <w:tcPr>
            <w:tcW w:w="1282" w:type="dxa"/>
          </w:tcPr>
          <w:p>
            <w:pPr>
              <w:pStyle w:val="TableParagraph"/>
              <w:spacing w:line="229" w:lineRule="exact" w:before="0"/>
              <w:ind w:left="108"/>
              <w:rPr>
                <w:sz w:val="20"/>
              </w:rPr>
            </w:pPr>
            <w:r>
              <w:rPr>
                <w:sz w:val="20"/>
              </w:rPr>
              <w:t>TEXT</w:t>
            </w:r>
          </w:p>
        </w:tc>
      </w:tr>
      <w:tr>
        <w:trPr>
          <w:trHeight w:val="311" w:hRule="atLeast"/>
        </w:trPr>
        <w:tc>
          <w:tcPr>
            <w:tcW w:w="4061" w:type="dxa"/>
          </w:tcPr>
          <w:p>
            <w:pPr>
              <w:pStyle w:val="TableParagraph"/>
              <w:spacing w:before="40"/>
              <w:rPr>
                <w:sz w:val="20"/>
              </w:rPr>
            </w:pPr>
            <w:r>
              <w:rPr>
                <w:sz w:val="20"/>
              </w:rPr>
              <w:t>Location Description</w:t>
            </w:r>
          </w:p>
        </w:tc>
        <w:tc>
          <w:tcPr>
            <w:tcW w:w="1282" w:type="dxa"/>
          </w:tcPr>
          <w:p>
            <w:pPr>
              <w:pStyle w:val="TableParagraph"/>
              <w:spacing w:line="229" w:lineRule="exact" w:before="0"/>
              <w:ind w:left="108"/>
              <w:rPr>
                <w:sz w:val="20"/>
              </w:rPr>
            </w:pPr>
            <w:r>
              <w:rPr>
                <w:sz w:val="20"/>
              </w:rPr>
              <w:t>TEXT</w:t>
            </w:r>
          </w:p>
        </w:tc>
      </w:tr>
      <w:tr>
        <w:trPr>
          <w:trHeight w:val="309" w:hRule="atLeast"/>
        </w:trPr>
        <w:tc>
          <w:tcPr>
            <w:tcW w:w="4061" w:type="dxa"/>
          </w:tcPr>
          <w:p>
            <w:pPr>
              <w:pStyle w:val="TableParagraph"/>
              <w:rPr>
                <w:sz w:val="20"/>
              </w:rPr>
            </w:pPr>
            <w:r>
              <w:rPr>
                <w:sz w:val="20"/>
              </w:rPr>
              <w:t>Location Number</w:t>
            </w:r>
          </w:p>
        </w:tc>
        <w:tc>
          <w:tcPr>
            <w:tcW w:w="1282" w:type="dxa"/>
          </w:tcPr>
          <w:p>
            <w:pPr>
              <w:pStyle w:val="TableParagraph"/>
              <w:spacing w:line="229" w:lineRule="exact" w:before="0"/>
              <w:ind w:left="108"/>
              <w:rPr>
                <w:sz w:val="20"/>
              </w:rPr>
            </w:pPr>
            <w:r>
              <w:rPr>
                <w:sz w:val="20"/>
              </w:rPr>
              <w:t>NUMBER</w:t>
            </w:r>
          </w:p>
        </w:tc>
      </w:tr>
    </w:tbl>
    <w:p>
      <w:pPr>
        <w:pStyle w:val="BodyText"/>
        <w:spacing w:before="5"/>
        <w:rPr>
          <w:sz w:val="20"/>
        </w:rPr>
      </w:pPr>
    </w:p>
    <w:p>
      <w:pPr>
        <w:pStyle w:val="ListParagraph"/>
        <w:numPr>
          <w:ilvl w:val="2"/>
          <w:numId w:val="10"/>
        </w:numPr>
        <w:tabs>
          <w:tab w:pos="1300" w:val="left" w:leader="none"/>
          <w:tab w:pos="1301" w:val="left" w:leader="none"/>
        </w:tabs>
        <w:spacing w:line="240" w:lineRule="auto" w:before="1" w:after="0"/>
        <w:ind w:left="1300" w:right="0" w:hanging="720"/>
        <w:jc w:val="left"/>
        <w:rPr>
          <w:b/>
          <w:sz w:val="22"/>
        </w:rPr>
      </w:pPr>
      <w:bookmarkStart w:name="_bookmark30" w:id="52"/>
      <w:bookmarkEnd w:id="52"/>
      <w:r>
        <w:rPr/>
      </w:r>
      <w:bookmarkStart w:name="_bookmark30" w:id="53"/>
      <w:bookmarkEnd w:id="53"/>
      <w:r>
        <w:rPr>
          <w:b/>
          <w:sz w:val="22"/>
        </w:rPr>
        <w:t>R</w:t>
      </w:r>
      <w:r>
        <w:rPr>
          <w:b/>
          <w:sz w:val="22"/>
        </w:rPr>
        <w:t>ecording</w:t>
      </w:r>
      <w:r>
        <w:rPr>
          <w:b/>
          <w:spacing w:val="-3"/>
          <w:sz w:val="22"/>
        </w:rPr>
        <w:t> </w:t>
      </w:r>
      <w:r>
        <w:rPr>
          <w:b/>
          <w:sz w:val="22"/>
        </w:rPr>
        <w:t>Intervals</w:t>
      </w:r>
    </w:p>
    <w:p>
      <w:pPr>
        <w:pStyle w:val="BodyText"/>
        <w:spacing w:line="276" w:lineRule="auto" w:before="123"/>
        <w:ind w:left="580" w:right="867"/>
      </w:pPr>
      <w:r>
        <w:rPr/>
        <w:t>Recording intervals shall conform to latest release of U.S. Department of Energy Metering Best Practices (release 3.0 or later). Recorded time intervals will be 15 minutes to match common utility billing meter intervals, or as otherwise established by SILC. Other user-specified time intervals (e.g., 1 minute, 5 minute), shall be supported for examining system or equipment performance, trending, and start/stop characteristics. The advanced meters shall have the capability to use remote or automated meter reading (AMR).</w:t>
      </w:r>
    </w:p>
    <w:p>
      <w:pPr>
        <w:spacing w:after="0" w:line="276" w:lineRule="auto"/>
        <w:sectPr>
          <w:pgSz w:w="12240" w:h="15840"/>
          <w:pgMar w:header="724" w:footer="1020" w:top="1220" w:bottom="1220" w:left="860" w:right="680"/>
        </w:sectPr>
      </w:pPr>
    </w:p>
    <w:p>
      <w:pPr>
        <w:pStyle w:val="BodyText"/>
        <w:spacing w:before="10"/>
        <w:rPr>
          <w:sz w:val="18"/>
        </w:rPr>
      </w:pP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Heading1"/>
        <w:numPr>
          <w:ilvl w:val="0"/>
          <w:numId w:val="10"/>
        </w:numPr>
        <w:tabs>
          <w:tab w:pos="1012" w:val="left" w:leader="none"/>
          <w:tab w:pos="1013" w:val="left" w:leader="none"/>
        </w:tabs>
        <w:spacing w:line="240" w:lineRule="auto" w:before="8" w:after="22"/>
        <w:ind w:left="1012" w:right="0" w:hanging="432"/>
        <w:jc w:val="left"/>
      </w:pPr>
      <w:bookmarkStart w:name="_bookmark31" w:id="54"/>
      <w:bookmarkEnd w:id="54"/>
      <w:r>
        <w:rPr>
          <w:b w:val="0"/>
        </w:rPr>
      </w:r>
      <w:bookmarkStart w:name="_bookmark31" w:id="55"/>
      <w:bookmarkEnd w:id="55"/>
      <w:r>
        <w:rPr/>
        <w:t>EXE</w:t>
      </w:r>
      <w:r>
        <w:rPr/>
        <w:t>CUTION</w:t>
      </w: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Heading2"/>
        <w:numPr>
          <w:ilvl w:val="1"/>
          <w:numId w:val="11"/>
        </w:numPr>
        <w:tabs>
          <w:tab w:pos="1156" w:val="left" w:leader="none"/>
          <w:tab w:pos="1157" w:val="left" w:leader="none"/>
        </w:tabs>
        <w:spacing w:line="240" w:lineRule="auto" w:before="228" w:after="0"/>
        <w:ind w:left="1156" w:right="0" w:hanging="576"/>
        <w:jc w:val="left"/>
      </w:pPr>
      <w:bookmarkStart w:name="_bookmark32" w:id="56"/>
      <w:bookmarkEnd w:id="56"/>
      <w:r>
        <w:rPr>
          <w:b w:val="0"/>
        </w:rPr>
      </w:r>
      <w:bookmarkStart w:name="_bookmark32" w:id="57"/>
      <w:bookmarkEnd w:id="57"/>
      <w:r>
        <w:rPr/>
        <w:t>Installa</w:t>
      </w:r>
      <w:r>
        <w:rPr/>
        <w:t>tion and</w:t>
      </w:r>
      <w:r>
        <w:rPr>
          <w:spacing w:val="-3"/>
        </w:rPr>
        <w:t> </w:t>
      </w:r>
      <w:r>
        <w:rPr/>
        <w:t>Commissioning</w:t>
      </w:r>
    </w:p>
    <w:p>
      <w:pPr>
        <w:spacing w:before="118"/>
        <w:ind w:left="580" w:right="0" w:firstLine="0"/>
        <w:jc w:val="left"/>
        <w:rPr>
          <w:b/>
          <w:sz w:val="22"/>
        </w:rPr>
      </w:pPr>
      <w:r>
        <w:rPr>
          <w:b/>
          <w:sz w:val="22"/>
        </w:rPr>
        <w:t>General</w:t>
      </w:r>
    </w:p>
    <w:p>
      <w:pPr>
        <w:pStyle w:val="ListParagraph"/>
        <w:numPr>
          <w:ilvl w:val="2"/>
          <w:numId w:val="11"/>
        </w:numPr>
        <w:tabs>
          <w:tab w:pos="1301" w:val="left" w:leader="none"/>
        </w:tabs>
        <w:spacing w:line="240" w:lineRule="auto" w:before="160" w:after="0"/>
        <w:ind w:left="1300" w:right="865" w:hanging="360"/>
        <w:jc w:val="left"/>
        <w:rPr>
          <w:sz w:val="22"/>
        </w:rPr>
      </w:pPr>
      <w:r>
        <w:rPr>
          <w:sz w:val="22"/>
        </w:rPr>
        <w:t>Prior to the installation of the equipment, the contractor shall provide the Coast Guard with the number of DAS’s, metering devices and transceivers to be installed. Upon receipt of the information, DAS, meter and transceiver device names will be provided</w:t>
      </w:r>
      <w:r>
        <w:rPr>
          <w:spacing w:val="-26"/>
          <w:sz w:val="22"/>
        </w:rPr>
        <w:t> </w:t>
      </w:r>
      <w:r>
        <w:rPr>
          <w:sz w:val="22"/>
        </w:rPr>
        <w:t>by the Coast Guard to the</w:t>
      </w:r>
      <w:r>
        <w:rPr>
          <w:spacing w:val="-6"/>
          <w:sz w:val="22"/>
        </w:rPr>
        <w:t> </w:t>
      </w:r>
      <w:r>
        <w:rPr>
          <w:sz w:val="22"/>
        </w:rPr>
        <w:t>contractor.</w:t>
      </w:r>
    </w:p>
    <w:p>
      <w:pPr>
        <w:pStyle w:val="ListParagraph"/>
        <w:numPr>
          <w:ilvl w:val="2"/>
          <w:numId w:val="11"/>
        </w:numPr>
        <w:tabs>
          <w:tab w:pos="1301" w:val="left" w:leader="none"/>
        </w:tabs>
        <w:spacing w:line="240" w:lineRule="auto" w:before="137" w:after="0"/>
        <w:ind w:left="1300" w:right="860" w:hanging="360"/>
        <w:jc w:val="left"/>
        <w:rPr>
          <w:sz w:val="22"/>
        </w:rPr>
      </w:pPr>
      <w:r>
        <w:rPr>
          <w:sz w:val="22"/>
        </w:rPr>
        <w:t>All equipment shall be installed per manufacturer’s instructions with latest firmware and shall comply with NEC standards, industry specifications and standards and local codes for performance, reliability, compatibility and security (see Technote 88 Security Best Practices - Table 5-3.) The latest installation manuals and best practices for the DAS and Transceivers can be found on the CG AMI Portal –</w:t>
      </w:r>
      <w:r>
        <w:rPr>
          <w:color w:val="0000FF"/>
          <w:sz w:val="22"/>
        </w:rPr>
        <w:t> </w:t>
      </w:r>
      <w:hyperlink r:id="rId10">
        <w:r>
          <w:rPr>
            <w:color w:val="0000FF"/>
            <w:sz w:val="22"/>
            <w:u w:val="single" w:color="0000FF"/>
          </w:rPr>
          <w:t>http://CGlink.uscg.mil/AMI</w:t>
        </w:r>
        <w:r>
          <w:rPr>
            <w:color w:val="0000FF"/>
            <w:sz w:val="22"/>
          </w:rPr>
          <w:t> </w:t>
        </w:r>
      </w:hyperlink>
      <w:r>
        <w:rPr>
          <w:sz w:val="22"/>
        </w:rPr>
        <w:t>or</w:t>
      </w:r>
      <w:hyperlink r:id="rId38">
        <w:r>
          <w:rPr>
            <w:color w:val="0000FF"/>
            <w:sz w:val="22"/>
            <w:u w:val="single" w:color="0000FF"/>
          </w:rPr>
          <w:t> www.obvius.com</w:t>
        </w:r>
      </w:hyperlink>
      <w:r>
        <w:rPr>
          <w:sz w:val="22"/>
        </w:rPr>
        <w:t>.</w:t>
      </w:r>
    </w:p>
    <w:p>
      <w:pPr>
        <w:pStyle w:val="ListParagraph"/>
        <w:numPr>
          <w:ilvl w:val="2"/>
          <w:numId w:val="11"/>
        </w:numPr>
        <w:tabs>
          <w:tab w:pos="1301" w:val="left" w:leader="none"/>
        </w:tabs>
        <w:spacing w:line="240" w:lineRule="auto" w:before="139" w:after="0"/>
        <w:ind w:left="1300" w:right="820" w:hanging="360"/>
        <w:jc w:val="left"/>
        <w:rPr>
          <w:sz w:val="22"/>
        </w:rPr>
      </w:pPr>
      <w:r>
        <w:rPr>
          <w:sz w:val="22"/>
        </w:rPr>
        <w:t>Install equipment rigidly and adequately for the operating environment. This includes the use of blocking for support and special fasteners if necessary to ensure tight and secure mounting of equipment. RS485 cable, power cable, and any other wires shall be neatly routed and secured resulting in a neat, orderly appearance. RS485 wiring shall be protected from abrasion upon passing through electrical panel cutout or</w:t>
      </w:r>
      <w:r>
        <w:rPr>
          <w:spacing w:val="-10"/>
          <w:sz w:val="22"/>
        </w:rPr>
        <w:t> </w:t>
      </w:r>
      <w:r>
        <w:rPr>
          <w:sz w:val="22"/>
        </w:rPr>
        <w:t>hole.</w:t>
      </w:r>
    </w:p>
    <w:p>
      <w:pPr>
        <w:pStyle w:val="ListParagraph"/>
        <w:numPr>
          <w:ilvl w:val="2"/>
          <w:numId w:val="11"/>
        </w:numPr>
        <w:tabs>
          <w:tab w:pos="1301" w:val="left" w:leader="none"/>
        </w:tabs>
        <w:spacing w:line="240" w:lineRule="auto" w:before="139" w:after="0"/>
        <w:ind w:left="1300" w:right="823" w:hanging="360"/>
        <w:jc w:val="left"/>
        <w:rPr>
          <w:sz w:val="22"/>
        </w:rPr>
      </w:pPr>
      <w:r>
        <w:rPr>
          <w:sz w:val="22"/>
        </w:rPr>
        <w:t>No wires shall be installed running along/up the exterior façade. All wires shall enter the building and run internally in wall systems or service</w:t>
      </w:r>
      <w:r>
        <w:rPr>
          <w:spacing w:val="-6"/>
          <w:sz w:val="22"/>
        </w:rPr>
        <w:t> </w:t>
      </w:r>
      <w:r>
        <w:rPr>
          <w:sz w:val="22"/>
        </w:rPr>
        <w:t>rooms.</w:t>
      </w:r>
    </w:p>
    <w:p>
      <w:pPr>
        <w:pStyle w:val="ListParagraph"/>
        <w:numPr>
          <w:ilvl w:val="2"/>
          <w:numId w:val="11"/>
        </w:numPr>
        <w:tabs>
          <w:tab w:pos="1301" w:val="left" w:leader="none"/>
        </w:tabs>
        <w:spacing w:line="240" w:lineRule="auto" w:before="157" w:after="0"/>
        <w:ind w:left="1300" w:right="1145" w:hanging="360"/>
        <w:jc w:val="left"/>
        <w:rPr>
          <w:sz w:val="22"/>
        </w:rPr>
      </w:pPr>
      <w:r>
        <w:rPr>
          <w:sz w:val="22"/>
        </w:rPr>
        <w:t>All equipment installed to include associated cabling and hardware shall be weather resistant</w:t>
      </w:r>
      <w:r>
        <w:rPr>
          <w:spacing w:val="-4"/>
          <w:sz w:val="22"/>
        </w:rPr>
        <w:t> </w:t>
      </w:r>
      <w:r>
        <w:rPr>
          <w:sz w:val="22"/>
        </w:rPr>
        <w:t>or</w:t>
      </w:r>
      <w:r>
        <w:rPr>
          <w:spacing w:val="-4"/>
          <w:sz w:val="22"/>
        </w:rPr>
        <w:t> </w:t>
      </w:r>
      <w:r>
        <w:rPr>
          <w:sz w:val="22"/>
        </w:rPr>
        <w:t>installed</w:t>
      </w:r>
      <w:r>
        <w:rPr>
          <w:spacing w:val="-4"/>
          <w:sz w:val="22"/>
        </w:rPr>
        <w:t> </w:t>
      </w:r>
      <w:r>
        <w:rPr>
          <w:sz w:val="22"/>
        </w:rPr>
        <w:t>in</w:t>
      </w:r>
      <w:r>
        <w:rPr>
          <w:spacing w:val="-5"/>
          <w:sz w:val="22"/>
        </w:rPr>
        <w:t> </w:t>
      </w:r>
      <w:r>
        <w:rPr>
          <w:sz w:val="22"/>
        </w:rPr>
        <w:t>a</w:t>
      </w:r>
      <w:r>
        <w:rPr>
          <w:spacing w:val="-9"/>
          <w:sz w:val="22"/>
        </w:rPr>
        <w:t> </w:t>
      </w:r>
      <w:r>
        <w:rPr>
          <w:sz w:val="22"/>
        </w:rPr>
        <w:t>weather</w:t>
      </w:r>
      <w:r>
        <w:rPr>
          <w:spacing w:val="-4"/>
          <w:sz w:val="22"/>
        </w:rPr>
        <w:t> </w:t>
      </w:r>
      <w:r>
        <w:rPr>
          <w:sz w:val="22"/>
        </w:rPr>
        <w:t>resistant</w:t>
      </w:r>
      <w:r>
        <w:rPr>
          <w:spacing w:val="-3"/>
          <w:sz w:val="22"/>
        </w:rPr>
        <w:t> </w:t>
      </w:r>
      <w:r>
        <w:rPr>
          <w:sz w:val="22"/>
        </w:rPr>
        <w:t>enclosure</w:t>
      </w:r>
      <w:r>
        <w:rPr>
          <w:spacing w:val="-5"/>
          <w:sz w:val="22"/>
        </w:rPr>
        <w:t> </w:t>
      </w:r>
      <w:r>
        <w:rPr>
          <w:sz w:val="22"/>
        </w:rPr>
        <w:t>per</w:t>
      </w:r>
      <w:r>
        <w:rPr>
          <w:spacing w:val="-6"/>
          <w:sz w:val="22"/>
        </w:rPr>
        <w:t> </w:t>
      </w:r>
      <w:r>
        <w:rPr>
          <w:sz w:val="22"/>
        </w:rPr>
        <w:t>manufacturer’s</w:t>
      </w:r>
      <w:r>
        <w:rPr>
          <w:spacing w:val="-4"/>
          <w:sz w:val="22"/>
        </w:rPr>
        <w:t> </w:t>
      </w:r>
      <w:r>
        <w:rPr>
          <w:sz w:val="22"/>
        </w:rPr>
        <w:t>instructions.</w:t>
      </w:r>
    </w:p>
    <w:p>
      <w:pPr>
        <w:pStyle w:val="ListParagraph"/>
        <w:numPr>
          <w:ilvl w:val="2"/>
          <w:numId w:val="11"/>
        </w:numPr>
        <w:tabs>
          <w:tab w:pos="1301" w:val="left" w:leader="none"/>
        </w:tabs>
        <w:spacing w:line="240" w:lineRule="auto" w:before="140" w:after="0"/>
        <w:ind w:left="1300" w:right="1250" w:hanging="360"/>
        <w:jc w:val="left"/>
        <w:rPr>
          <w:sz w:val="22"/>
        </w:rPr>
      </w:pPr>
      <w:r>
        <w:rPr>
          <w:sz w:val="22"/>
        </w:rPr>
        <w:t>Upon final installation, equipment shall not interfere with panel boards or switchgear covers or</w:t>
      </w:r>
      <w:r>
        <w:rPr>
          <w:spacing w:val="-1"/>
          <w:sz w:val="22"/>
        </w:rPr>
        <w:t> </w:t>
      </w:r>
      <w:r>
        <w:rPr>
          <w:sz w:val="22"/>
        </w:rPr>
        <w:t>doors.</w:t>
      </w:r>
    </w:p>
    <w:p>
      <w:pPr>
        <w:pStyle w:val="ListParagraph"/>
        <w:numPr>
          <w:ilvl w:val="2"/>
          <w:numId w:val="11"/>
        </w:numPr>
        <w:tabs>
          <w:tab w:pos="1301" w:val="left" w:leader="none"/>
        </w:tabs>
        <w:spacing w:line="240" w:lineRule="auto" w:before="158" w:after="0"/>
        <w:ind w:left="1300" w:right="934" w:hanging="360"/>
        <w:jc w:val="left"/>
        <w:rPr>
          <w:sz w:val="22"/>
        </w:rPr>
      </w:pPr>
      <w:r>
        <w:rPr>
          <w:sz w:val="22"/>
        </w:rPr>
        <w:t>The contractor shall ensure that the DAS and transceivers are connected to an existing or new 110-120VAC power</w:t>
      </w:r>
      <w:r>
        <w:rPr>
          <w:spacing w:val="-2"/>
          <w:sz w:val="22"/>
        </w:rPr>
        <w:t> </w:t>
      </w:r>
      <w:r>
        <w:rPr>
          <w:sz w:val="22"/>
        </w:rPr>
        <w:t>supply.</w:t>
      </w:r>
    </w:p>
    <w:p>
      <w:pPr>
        <w:pStyle w:val="ListParagraph"/>
        <w:numPr>
          <w:ilvl w:val="2"/>
          <w:numId w:val="11"/>
        </w:numPr>
        <w:tabs>
          <w:tab w:pos="1301" w:val="left" w:leader="none"/>
        </w:tabs>
        <w:spacing w:line="240" w:lineRule="auto" w:before="159" w:after="0"/>
        <w:ind w:left="1300" w:right="1288" w:hanging="360"/>
        <w:jc w:val="left"/>
        <w:rPr>
          <w:sz w:val="22"/>
        </w:rPr>
      </w:pPr>
      <w:r>
        <w:rPr>
          <w:sz w:val="22"/>
        </w:rPr>
        <w:t>Programming of the equipment shall be in accordance with the manufacturer’s Installation and Operation Manual. The Coast Guard will provide the contractor with access to the existing DAS as applicable, to obtain the existing ModBus addresses, radio channel, and other pertinent</w:t>
      </w:r>
      <w:r>
        <w:rPr>
          <w:spacing w:val="-6"/>
          <w:sz w:val="22"/>
        </w:rPr>
        <w:t> </w:t>
      </w:r>
      <w:r>
        <w:rPr>
          <w:sz w:val="22"/>
        </w:rPr>
        <w:t>information.</w:t>
      </w:r>
    </w:p>
    <w:p>
      <w:pPr>
        <w:pStyle w:val="ListParagraph"/>
        <w:numPr>
          <w:ilvl w:val="2"/>
          <w:numId w:val="11"/>
        </w:numPr>
        <w:tabs>
          <w:tab w:pos="1300" w:val="left" w:leader="none"/>
          <w:tab w:pos="1301" w:val="left" w:leader="none"/>
        </w:tabs>
        <w:spacing w:line="240" w:lineRule="auto" w:before="138" w:after="0"/>
        <w:ind w:left="1300" w:right="931" w:hanging="360"/>
        <w:jc w:val="left"/>
        <w:rPr>
          <w:sz w:val="22"/>
        </w:rPr>
      </w:pPr>
      <w:r>
        <w:rPr>
          <w:sz w:val="22"/>
        </w:rPr>
        <w:t>DASs, Transceivers and Meters shall be numbered. The numbering scheme shall be in accordance with </w:t>
      </w:r>
      <w:hyperlink w:history="true" w:anchor="_bookmark49">
        <w:r>
          <w:rPr>
            <w:sz w:val="22"/>
          </w:rPr>
          <w:t>Appendix F </w:t>
        </w:r>
      </w:hyperlink>
      <w:r>
        <w:rPr>
          <w:sz w:val="22"/>
        </w:rPr>
        <w:t>- AMI Equipment Device Naming Convention, and be approved by the Coast Guard prior to installation. Each DAS, I/O Flex Module and transceiver installed shall be physically labeled with the corresponding</w:t>
      </w:r>
      <w:r>
        <w:rPr>
          <w:spacing w:val="-11"/>
          <w:sz w:val="22"/>
        </w:rPr>
        <w:t> </w:t>
      </w:r>
      <w:r>
        <w:rPr>
          <w:sz w:val="22"/>
        </w:rPr>
        <w:t>number.</w:t>
      </w:r>
    </w:p>
    <w:p>
      <w:pPr>
        <w:pStyle w:val="ListParagraph"/>
        <w:numPr>
          <w:ilvl w:val="2"/>
          <w:numId w:val="11"/>
        </w:numPr>
        <w:tabs>
          <w:tab w:pos="1301" w:val="left" w:leader="none"/>
        </w:tabs>
        <w:spacing w:line="240" w:lineRule="auto" w:before="160" w:after="0"/>
        <w:ind w:left="1300" w:right="775" w:hanging="360"/>
        <w:jc w:val="left"/>
        <w:rPr>
          <w:sz w:val="22"/>
        </w:rPr>
      </w:pPr>
      <w:r>
        <w:rPr>
          <w:sz w:val="22"/>
        </w:rPr>
        <w:t>If removal of existing advanced metering components is necessary as part of the scope of work, the Contractor shall reuse existing equipment where possible and return unused equipment to the Facilities Engineer (FE) or Engineering Petty Officer (EPO). Wall finish will be restored to original condition or better (patched and painted to match surrounding finish) for any equipment</w:t>
      </w:r>
      <w:r>
        <w:rPr>
          <w:spacing w:val="-9"/>
          <w:sz w:val="22"/>
        </w:rPr>
        <w:t> </w:t>
      </w:r>
      <w:r>
        <w:rPr>
          <w:sz w:val="22"/>
        </w:rPr>
        <w:t>removed.</w:t>
      </w:r>
    </w:p>
    <w:p>
      <w:pPr>
        <w:pStyle w:val="ListParagraph"/>
        <w:numPr>
          <w:ilvl w:val="2"/>
          <w:numId w:val="11"/>
        </w:numPr>
        <w:tabs>
          <w:tab w:pos="1301" w:val="left" w:leader="none"/>
        </w:tabs>
        <w:spacing w:line="240" w:lineRule="auto" w:before="137" w:after="0"/>
        <w:ind w:left="1300" w:right="808" w:hanging="360"/>
        <w:jc w:val="left"/>
        <w:rPr>
          <w:sz w:val="22"/>
        </w:rPr>
      </w:pPr>
      <w:r>
        <w:rPr>
          <w:sz w:val="22"/>
        </w:rPr>
        <w:t>The Contractor shall arrange for a representative from Obvius, LLC to be on-site for final system configuration as part of any contracts to install metering</w:t>
      </w:r>
      <w:r>
        <w:rPr>
          <w:spacing w:val="-11"/>
          <w:sz w:val="22"/>
        </w:rPr>
        <w:t> </w:t>
      </w:r>
      <w:r>
        <w:rPr>
          <w:sz w:val="22"/>
        </w:rPr>
        <w:t>equipment.</w:t>
      </w:r>
    </w:p>
    <w:p>
      <w:pPr>
        <w:spacing w:after="0" w:line="240" w:lineRule="auto"/>
        <w:jc w:val="left"/>
        <w:rPr>
          <w:sz w:val="22"/>
        </w:rPr>
        <w:sectPr>
          <w:pgSz w:w="12240" w:h="15840"/>
          <w:pgMar w:header="724" w:footer="1020" w:top="1220" w:bottom="1220" w:left="860" w:right="680"/>
        </w:sectPr>
      </w:pPr>
    </w:p>
    <w:p>
      <w:pPr>
        <w:pStyle w:val="BodyText"/>
        <w:spacing w:before="6"/>
        <w:rPr>
          <w:sz w:val="10"/>
        </w:rPr>
      </w:pPr>
    </w:p>
    <w:p>
      <w:pPr>
        <w:pStyle w:val="ListParagraph"/>
        <w:numPr>
          <w:ilvl w:val="2"/>
          <w:numId w:val="11"/>
        </w:numPr>
        <w:tabs>
          <w:tab w:pos="1301" w:val="left" w:leader="none"/>
        </w:tabs>
        <w:spacing w:line="240" w:lineRule="auto" w:before="94" w:after="0"/>
        <w:ind w:left="1300" w:right="1264" w:hanging="360"/>
        <w:jc w:val="left"/>
        <w:rPr>
          <w:sz w:val="22"/>
        </w:rPr>
      </w:pPr>
      <w:r>
        <w:rPr>
          <w:sz w:val="22"/>
        </w:rPr>
        <w:t>The unit shall notify the USCG SILC ESD Energy Branch and MSPL when metering system is installed, updated, or</w:t>
      </w:r>
      <w:r>
        <w:rPr>
          <w:spacing w:val="-2"/>
          <w:sz w:val="22"/>
        </w:rPr>
        <w:t> </w:t>
      </w:r>
      <w:r>
        <w:rPr>
          <w:sz w:val="22"/>
        </w:rPr>
        <w:t>replaced.</w:t>
      </w:r>
    </w:p>
    <w:p>
      <w:pPr>
        <w:pStyle w:val="BodyText"/>
        <w:spacing w:before="8"/>
        <w:rPr>
          <w:sz w:val="20"/>
        </w:rPr>
      </w:pPr>
    </w:p>
    <w:p>
      <w:pPr>
        <w:pStyle w:val="Heading3"/>
        <w:numPr>
          <w:ilvl w:val="2"/>
          <w:numId w:val="12"/>
        </w:numPr>
        <w:tabs>
          <w:tab w:pos="1300" w:val="left" w:leader="none"/>
          <w:tab w:pos="1301" w:val="left" w:leader="none"/>
        </w:tabs>
        <w:spacing w:line="240" w:lineRule="auto" w:before="0" w:after="0"/>
        <w:ind w:left="1300" w:right="0" w:hanging="720"/>
        <w:jc w:val="left"/>
      </w:pPr>
      <w:bookmarkStart w:name="_bookmark33" w:id="58"/>
      <w:bookmarkEnd w:id="58"/>
      <w:r>
        <w:rPr>
          <w:b w:val="0"/>
        </w:rPr>
      </w:r>
      <w:bookmarkStart w:name="_bookmark33" w:id="59"/>
      <w:bookmarkEnd w:id="59"/>
      <w:r>
        <w:rPr/>
        <w:t>M</w:t>
      </w:r>
      <w:r>
        <w:rPr/>
        <w:t>eters</w:t>
      </w:r>
    </w:p>
    <w:p>
      <w:pPr>
        <w:pStyle w:val="BodyText"/>
        <w:spacing w:before="121"/>
        <w:ind w:left="580"/>
      </w:pPr>
      <w:r>
        <w:rPr/>
        <w:t>General</w:t>
      </w:r>
    </w:p>
    <w:p>
      <w:pPr>
        <w:pStyle w:val="ListParagraph"/>
        <w:numPr>
          <w:ilvl w:val="0"/>
          <w:numId w:val="13"/>
        </w:numPr>
        <w:tabs>
          <w:tab w:pos="1301" w:val="left" w:leader="none"/>
        </w:tabs>
        <w:spacing w:line="240" w:lineRule="auto" w:before="158" w:after="0"/>
        <w:ind w:left="1300" w:right="944" w:hanging="360"/>
        <w:jc w:val="left"/>
        <w:rPr>
          <w:sz w:val="22"/>
        </w:rPr>
      </w:pPr>
      <w:r>
        <w:rPr>
          <w:sz w:val="22"/>
        </w:rPr>
        <w:t>All equipment shall be installed in strict compliance with the manufacturer's</w:t>
      </w:r>
      <w:r>
        <w:rPr>
          <w:spacing w:val="-26"/>
          <w:sz w:val="22"/>
        </w:rPr>
        <w:t> </w:t>
      </w:r>
      <w:r>
        <w:rPr>
          <w:sz w:val="22"/>
        </w:rPr>
        <w:t>instructions and shall include commissioning into the Acquisition Server</w:t>
      </w:r>
      <w:r>
        <w:rPr>
          <w:spacing w:val="-5"/>
          <w:sz w:val="22"/>
        </w:rPr>
        <w:t> </w:t>
      </w:r>
      <w:r>
        <w:rPr>
          <w:sz w:val="22"/>
        </w:rPr>
        <w:t>system.</w:t>
      </w:r>
    </w:p>
    <w:p>
      <w:pPr>
        <w:pStyle w:val="ListParagraph"/>
        <w:numPr>
          <w:ilvl w:val="0"/>
          <w:numId w:val="13"/>
        </w:numPr>
        <w:tabs>
          <w:tab w:pos="1301" w:val="left" w:leader="none"/>
        </w:tabs>
        <w:spacing w:line="240" w:lineRule="auto" w:before="120" w:after="0"/>
        <w:ind w:left="1300" w:right="0" w:hanging="360"/>
        <w:jc w:val="left"/>
        <w:rPr>
          <w:sz w:val="22"/>
        </w:rPr>
      </w:pPr>
      <w:r>
        <w:rPr>
          <w:sz w:val="22"/>
        </w:rPr>
        <w:t>The</w:t>
      </w:r>
      <w:r>
        <w:rPr>
          <w:spacing w:val="-5"/>
          <w:sz w:val="22"/>
        </w:rPr>
        <w:t> </w:t>
      </w:r>
      <w:r>
        <w:rPr>
          <w:sz w:val="22"/>
        </w:rPr>
        <w:t>meters</w:t>
      </w:r>
      <w:r>
        <w:rPr>
          <w:spacing w:val="-4"/>
          <w:sz w:val="22"/>
        </w:rPr>
        <w:t> </w:t>
      </w:r>
      <w:r>
        <w:rPr>
          <w:sz w:val="22"/>
        </w:rPr>
        <w:t>supplied</w:t>
      </w:r>
      <w:r>
        <w:rPr>
          <w:spacing w:val="-3"/>
          <w:sz w:val="22"/>
        </w:rPr>
        <w:t> </w:t>
      </w:r>
      <w:r>
        <w:rPr>
          <w:sz w:val="22"/>
        </w:rPr>
        <w:t>shall</w:t>
      </w:r>
      <w:r>
        <w:rPr>
          <w:spacing w:val="-2"/>
          <w:sz w:val="22"/>
        </w:rPr>
        <w:t> </w:t>
      </w:r>
      <w:r>
        <w:rPr>
          <w:sz w:val="22"/>
        </w:rPr>
        <w:t>be</w:t>
      </w:r>
      <w:r>
        <w:rPr>
          <w:spacing w:val="-3"/>
          <w:sz w:val="22"/>
        </w:rPr>
        <w:t> </w:t>
      </w:r>
      <w:r>
        <w:rPr>
          <w:sz w:val="22"/>
        </w:rPr>
        <w:t>integrated</w:t>
      </w:r>
      <w:r>
        <w:rPr>
          <w:spacing w:val="-3"/>
          <w:sz w:val="22"/>
        </w:rPr>
        <w:t> </w:t>
      </w:r>
      <w:r>
        <w:rPr>
          <w:sz w:val="22"/>
        </w:rPr>
        <w:t>into</w:t>
      </w:r>
      <w:r>
        <w:rPr>
          <w:spacing w:val="-4"/>
          <w:sz w:val="22"/>
        </w:rPr>
        <w:t> </w:t>
      </w:r>
      <w:r>
        <w:rPr>
          <w:sz w:val="22"/>
        </w:rPr>
        <w:t>the</w:t>
      </w:r>
      <w:r>
        <w:rPr>
          <w:spacing w:val="-5"/>
          <w:sz w:val="22"/>
        </w:rPr>
        <w:t> </w:t>
      </w:r>
      <w:r>
        <w:rPr>
          <w:sz w:val="22"/>
        </w:rPr>
        <w:t>Coast</w:t>
      </w:r>
      <w:r>
        <w:rPr>
          <w:spacing w:val="-4"/>
          <w:sz w:val="22"/>
        </w:rPr>
        <w:t> </w:t>
      </w:r>
      <w:r>
        <w:rPr>
          <w:sz w:val="22"/>
        </w:rPr>
        <w:t>Guard’s</w:t>
      </w:r>
      <w:r>
        <w:rPr>
          <w:spacing w:val="-5"/>
          <w:sz w:val="22"/>
        </w:rPr>
        <w:t> </w:t>
      </w:r>
      <w:r>
        <w:rPr>
          <w:sz w:val="22"/>
        </w:rPr>
        <w:t>utility</w:t>
      </w:r>
      <w:r>
        <w:rPr>
          <w:spacing w:val="-4"/>
          <w:sz w:val="22"/>
        </w:rPr>
        <w:t> </w:t>
      </w:r>
      <w:r>
        <w:rPr>
          <w:sz w:val="22"/>
        </w:rPr>
        <w:t>monitoring</w:t>
      </w:r>
      <w:r>
        <w:rPr>
          <w:spacing w:val="-3"/>
          <w:sz w:val="22"/>
        </w:rPr>
        <w:t> </w:t>
      </w:r>
      <w:r>
        <w:rPr>
          <w:sz w:val="22"/>
        </w:rPr>
        <w:t>system.</w:t>
      </w:r>
    </w:p>
    <w:p>
      <w:pPr>
        <w:pStyle w:val="ListParagraph"/>
        <w:numPr>
          <w:ilvl w:val="0"/>
          <w:numId w:val="13"/>
        </w:numPr>
        <w:tabs>
          <w:tab w:pos="1301" w:val="left" w:leader="none"/>
        </w:tabs>
        <w:spacing w:line="240" w:lineRule="auto" w:before="122" w:after="0"/>
        <w:ind w:left="1300" w:right="1230" w:hanging="360"/>
        <w:jc w:val="left"/>
        <w:rPr>
          <w:sz w:val="22"/>
        </w:rPr>
      </w:pPr>
      <w:r>
        <w:rPr>
          <w:sz w:val="22"/>
        </w:rPr>
        <w:t>Meters procured by the contractor must be compatible with the AcquiSuite</w:t>
      </w:r>
      <w:r>
        <w:rPr>
          <w:spacing w:val="-25"/>
          <w:sz w:val="22"/>
        </w:rPr>
        <w:t> </w:t>
      </w:r>
      <w:r>
        <w:rPr>
          <w:sz w:val="22"/>
        </w:rPr>
        <w:t>firmware. (Firmware version v02.15.0226 and newer).</w:t>
      </w:r>
    </w:p>
    <w:p>
      <w:pPr>
        <w:pStyle w:val="ListParagraph"/>
        <w:numPr>
          <w:ilvl w:val="0"/>
          <w:numId w:val="13"/>
        </w:numPr>
        <w:tabs>
          <w:tab w:pos="1301" w:val="left" w:leader="none"/>
        </w:tabs>
        <w:spacing w:line="240" w:lineRule="auto" w:before="118" w:after="0"/>
        <w:ind w:left="1300" w:right="0" w:hanging="360"/>
        <w:jc w:val="left"/>
        <w:rPr>
          <w:sz w:val="22"/>
        </w:rPr>
      </w:pPr>
      <w:r>
        <w:rPr>
          <w:sz w:val="22"/>
        </w:rPr>
        <w:t>The meters shall include specifications for any peripherals</w:t>
      </w:r>
      <w:r>
        <w:rPr>
          <w:spacing w:val="-10"/>
          <w:sz w:val="22"/>
        </w:rPr>
        <w:t> </w:t>
      </w:r>
      <w:r>
        <w:rPr>
          <w:sz w:val="22"/>
        </w:rPr>
        <w:t>required.</w:t>
      </w:r>
    </w:p>
    <w:p>
      <w:pPr>
        <w:pStyle w:val="ListParagraph"/>
        <w:numPr>
          <w:ilvl w:val="0"/>
          <w:numId w:val="13"/>
        </w:numPr>
        <w:tabs>
          <w:tab w:pos="1301" w:val="left" w:leader="none"/>
        </w:tabs>
        <w:spacing w:line="240" w:lineRule="auto" w:before="122" w:after="0"/>
        <w:ind w:left="1300" w:right="898" w:hanging="360"/>
        <w:jc w:val="left"/>
        <w:rPr>
          <w:sz w:val="22"/>
        </w:rPr>
      </w:pPr>
      <w:r>
        <w:rPr>
          <w:sz w:val="22"/>
        </w:rPr>
        <w:t>Ground exposed, non-current-carrying metallic parts of electrical equipment, metallic raceway systems, grounding conductor in metallic and nonmetallic raceways, telecommunications system grounds, and grounding conductor of nonmetallic sheathed cables, as well as equipment to eliminate shock hazard and to minimize ground loops, common-mode returns, noise pickup, cross talk, and other impairments in accordance with IEEE</w:t>
      </w:r>
      <w:r>
        <w:rPr>
          <w:spacing w:val="-1"/>
          <w:sz w:val="22"/>
        </w:rPr>
        <w:t> </w:t>
      </w:r>
      <w:r>
        <w:rPr>
          <w:sz w:val="22"/>
        </w:rPr>
        <w:t>1100-2005</w:t>
      </w:r>
    </w:p>
    <w:p>
      <w:pPr>
        <w:spacing w:before="116"/>
        <w:ind w:left="580" w:right="0" w:firstLine="0"/>
        <w:jc w:val="left"/>
        <w:rPr>
          <w:b/>
          <w:sz w:val="22"/>
        </w:rPr>
      </w:pPr>
      <w:r>
        <w:rPr>
          <w:b/>
          <w:sz w:val="22"/>
        </w:rPr>
        <w:t>Electric</w:t>
      </w:r>
    </w:p>
    <w:p>
      <w:pPr>
        <w:pStyle w:val="ListParagraph"/>
        <w:numPr>
          <w:ilvl w:val="0"/>
          <w:numId w:val="14"/>
        </w:numPr>
        <w:tabs>
          <w:tab w:pos="1301" w:val="left" w:leader="none"/>
        </w:tabs>
        <w:spacing w:line="240" w:lineRule="auto" w:before="163" w:after="0"/>
        <w:ind w:left="1300" w:right="786" w:hanging="360"/>
        <w:jc w:val="left"/>
        <w:rPr>
          <w:sz w:val="22"/>
        </w:rPr>
      </w:pPr>
      <w:r>
        <w:rPr>
          <w:sz w:val="22"/>
        </w:rPr>
        <w:t>In situations where panels have a lack of space available or if power entering panel exceeds the capacity of the Standard Configuration (480 VAC, 2400 Amperes), alternate metering solutions that meet the requirements of standard configuration will be considered as</w:t>
      </w:r>
      <w:r>
        <w:rPr>
          <w:spacing w:val="-5"/>
          <w:sz w:val="22"/>
        </w:rPr>
        <w:t> </w:t>
      </w:r>
      <w:r>
        <w:rPr>
          <w:sz w:val="22"/>
        </w:rPr>
        <w:t>follows:</w:t>
      </w:r>
    </w:p>
    <w:p>
      <w:pPr>
        <w:pStyle w:val="ListParagraph"/>
        <w:numPr>
          <w:ilvl w:val="1"/>
          <w:numId w:val="14"/>
        </w:numPr>
        <w:tabs>
          <w:tab w:pos="2268" w:val="left" w:leader="none"/>
        </w:tabs>
        <w:spacing w:line="276" w:lineRule="auto" w:before="118" w:after="0"/>
        <w:ind w:left="2020" w:right="813" w:firstLine="0"/>
        <w:jc w:val="left"/>
        <w:rPr>
          <w:sz w:val="22"/>
        </w:rPr>
      </w:pPr>
      <w:r>
        <w:rPr>
          <w:sz w:val="22"/>
        </w:rPr>
        <w:t>Split Core Flexible CTs are encapsulated in silicone rubber allowing for movement when placing in a panel with minimal space. The CT’s are available in both round and rectangular</w:t>
      </w:r>
      <w:r>
        <w:rPr>
          <w:spacing w:val="-4"/>
          <w:sz w:val="22"/>
        </w:rPr>
        <w:t> </w:t>
      </w:r>
      <w:r>
        <w:rPr>
          <w:sz w:val="22"/>
        </w:rPr>
        <w:t>shapes.</w:t>
      </w:r>
    </w:p>
    <w:p>
      <w:pPr>
        <w:pStyle w:val="ListParagraph"/>
        <w:numPr>
          <w:ilvl w:val="1"/>
          <w:numId w:val="14"/>
        </w:numPr>
        <w:tabs>
          <w:tab w:pos="2268" w:val="left" w:leader="none"/>
        </w:tabs>
        <w:spacing w:line="276" w:lineRule="auto" w:before="121" w:after="0"/>
        <w:ind w:left="2020" w:right="950" w:firstLine="0"/>
        <w:jc w:val="left"/>
        <w:rPr>
          <w:sz w:val="22"/>
        </w:rPr>
      </w:pPr>
      <w:r>
        <w:rPr>
          <w:sz w:val="22"/>
        </w:rPr>
        <w:t>Flexible Rope CTs have two parts, the flexible coil and compact power and energy meter. The flexible coil is shaped like a rope and fits in extremely tight spaces. The flexible coil is not a self-contained metering unit. The flexible coil</w:t>
      </w:r>
      <w:r>
        <w:rPr>
          <w:spacing w:val="-25"/>
          <w:sz w:val="22"/>
        </w:rPr>
        <w:t> </w:t>
      </w:r>
      <w:r>
        <w:rPr>
          <w:sz w:val="22"/>
        </w:rPr>
        <w:t>is hard-wired into the power and energy meter where it transmits the data to the DAS via a Modhopper</w:t>
      </w:r>
      <w:r>
        <w:rPr>
          <w:spacing w:val="1"/>
          <w:sz w:val="22"/>
        </w:rPr>
        <w:t> </w:t>
      </w:r>
      <w:r>
        <w:rPr>
          <w:sz w:val="22"/>
        </w:rPr>
        <w:t>Transceiver.</w:t>
      </w:r>
    </w:p>
    <w:p>
      <w:pPr>
        <w:spacing w:before="118"/>
        <w:ind w:left="580" w:right="0" w:firstLine="0"/>
        <w:jc w:val="left"/>
        <w:rPr>
          <w:b/>
          <w:sz w:val="22"/>
        </w:rPr>
      </w:pPr>
      <w:r>
        <w:rPr>
          <w:b/>
          <w:sz w:val="22"/>
        </w:rPr>
        <w:t>Water</w:t>
      </w:r>
    </w:p>
    <w:p>
      <w:pPr>
        <w:pStyle w:val="BodyText"/>
        <w:tabs>
          <w:tab w:pos="1362" w:val="left" w:leader="none"/>
        </w:tabs>
        <w:spacing w:before="159"/>
        <w:ind w:left="940" w:right="806"/>
      </w:pPr>
      <w:r>
        <w:rPr/>
        <w:t>A.</w:t>
        <w:tab/>
        <w:t>Pulse Initiators may be used on existing Utility-owned water meters with prior written consent and assistance by the Local Utility Account Representative. The Contractor shall be responsible for coordinating access to local utility owned assets and notify</w:t>
      </w:r>
      <w:r>
        <w:rPr>
          <w:spacing w:val="-16"/>
        </w:rPr>
        <w:t> </w:t>
      </w:r>
      <w:r>
        <w:rPr/>
        <w:t>COR.</w:t>
      </w:r>
    </w:p>
    <w:p>
      <w:pPr>
        <w:spacing w:before="118"/>
        <w:ind w:left="580" w:right="0" w:firstLine="0"/>
        <w:jc w:val="left"/>
        <w:rPr>
          <w:b/>
          <w:sz w:val="22"/>
        </w:rPr>
      </w:pPr>
      <w:r>
        <w:rPr>
          <w:b/>
          <w:sz w:val="22"/>
        </w:rPr>
        <w:t>Gas</w:t>
      </w:r>
    </w:p>
    <w:p>
      <w:pPr>
        <w:pStyle w:val="ListParagraph"/>
        <w:numPr>
          <w:ilvl w:val="0"/>
          <w:numId w:val="15"/>
        </w:numPr>
        <w:tabs>
          <w:tab w:pos="1301" w:val="left" w:leader="none"/>
        </w:tabs>
        <w:spacing w:line="240" w:lineRule="auto" w:before="162" w:after="0"/>
        <w:ind w:left="1300" w:right="0" w:hanging="360"/>
        <w:jc w:val="left"/>
        <w:rPr>
          <w:sz w:val="22"/>
        </w:rPr>
      </w:pPr>
      <w:r>
        <w:rPr>
          <w:sz w:val="22"/>
        </w:rPr>
        <w:t>Installation of gas piping shall be in accordance with ANSI</w:t>
      </w:r>
      <w:r>
        <w:rPr>
          <w:spacing w:val="-3"/>
          <w:sz w:val="22"/>
        </w:rPr>
        <w:t> </w:t>
      </w:r>
      <w:r>
        <w:rPr>
          <w:sz w:val="22"/>
        </w:rPr>
        <w:t>B31.8</w:t>
      </w:r>
    </w:p>
    <w:p>
      <w:pPr>
        <w:pStyle w:val="ListParagraph"/>
        <w:numPr>
          <w:ilvl w:val="0"/>
          <w:numId w:val="15"/>
        </w:numPr>
        <w:tabs>
          <w:tab w:pos="1301" w:val="left" w:leader="none"/>
        </w:tabs>
        <w:spacing w:line="240" w:lineRule="auto" w:before="119" w:after="0"/>
        <w:ind w:left="1300" w:right="765" w:hanging="360"/>
        <w:jc w:val="left"/>
        <w:rPr>
          <w:sz w:val="22"/>
        </w:rPr>
      </w:pPr>
      <w:r>
        <w:rPr>
          <w:sz w:val="22"/>
        </w:rPr>
        <w:t>When connecting to existing steel piping systems, provision shall be made to ensure</w:t>
      </w:r>
      <w:r>
        <w:rPr>
          <w:spacing w:val="-27"/>
          <w:sz w:val="22"/>
        </w:rPr>
        <w:t> </w:t>
      </w:r>
      <w:r>
        <w:rPr>
          <w:sz w:val="22"/>
        </w:rPr>
        <w:t>that the integrity of the cathodic protection is not</w:t>
      </w:r>
      <w:r>
        <w:rPr>
          <w:spacing w:val="-6"/>
          <w:sz w:val="22"/>
        </w:rPr>
        <w:t> </w:t>
      </w:r>
      <w:r>
        <w:rPr>
          <w:sz w:val="22"/>
        </w:rPr>
        <w:t>compromised.</w:t>
      </w:r>
    </w:p>
    <w:p>
      <w:pPr>
        <w:pStyle w:val="ListParagraph"/>
        <w:numPr>
          <w:ilvl w:val="0"/>
          <w:numId w:val="15"/>
        </w:numPr>
        <w:tabs>
          <w:tab w:pos="1301" w:val="left" w:leader="none"/>
        </w:tabs>
        <w:spacing w:line="240" w:lineRule="auto" w:before="121" w:after="0"/>
        <w:ind w:left="1300" w:right="778" w:hanging="360"/>
        <w:jc w:val="left"/>
        <w:rPr>
          <w:sz w:val="22"/>
        </w:rPr>
      </w:pPr>
      <w:r>
        <w:rPr>
          <w:sz w:val="22"/>
        </w:rPr>
        <w:t>Pulse Initiators may be used on existing Utility-owned gas meters with prior written consent and assistance by the Local Utility Account Representative. The Contractor shall be responsible for coordinating access to local utility owned assets and notify</w:t>
      </w:r>
      <w:r>
        <w:rPr>
          <w:spacing w:val="-28"/>
          <w:sz w:val="22"/>
        </w:rPr>
        <w:t> </w:t>
      </w:r>
      <w:r>
        <w:rPr>
          <w:sz w:val="22"/>
        </w:rPr>
        <w:t>COR.</w:t>
      </w:r>
    </w:p>
    <w:p>
      <w:pPr>
        <w:spacing w:after="0" w:line="240" w:lineRule="auto"/>
        <w:jc w:val="left"/>
        <w:rPr>
          <w:sz w:val="22"/>
        </w:rPr>
        <w:sectPr>
          <w:pgSz w:w="12240" w:h="15840"/>
          <w:pgMar w:header="724" w:footer="1020" w:top="1220" w:bottom="1220" w:left="860" w:right="680"/>
        </w:sectPr>
      </w:pPr>
    </w:p>
    <w:p>
      <w:pPr>
        <w:pStyle w:val="BodyText"/>
        <w:spacing w:before="3"/>
        <w:rPr>
          <w:sz w:val="10"/>
        </w:rPr>
      </w:pPr>
    </w:p>
    <w:p>
      <w:pPr>
        <w:pStyle w:val="Heading3"/>
        <w:numPr>
          <w:ilvl w:val="2"/>
          <w:numId w:val="12"/>
        </w:numPr>
        <w:tabs>
          <w:tab w:pos="1300" w:val="left" w:leader="none"/>
          <w:tab w:pos="1301" w:val="left" w:leader="none"/>
        </w:tabs>
        <w:spacing w:line="240" w:lineRule="auto" w:before="94" w:after="0"/>
        <w:ind w:left="1300" w:right="0" w:hanging="720"/>
        <w:jc w:val="left"/>
      </w:pPr>
      <w:bookmarkStart w:name="_bookmark34" w:id="60"/>
      <w:bookmarkEnd w:id="60"/>
      <w:r>
        <w:rPr>
          <w:b w:val="0"/>
        </w:rPr>
      </w:r>
      <w:bookmarkStart w:name="_bookmark34" w:id="61"/>
      <w:bookmarkEnd w:id="61"/>
      <w:r>
        <w:rPr/>
        <w:t>D</w:t>
      </w:r>
      <w:r>
        <w:rPr/>
        <w:t>ata Acquisition Servers</w:t>
      </w:r>
      <w:r>
        <w:rPr>
          <w:spacing w:val="2"/>
        </w:rPr>
        <w:t> </w:t>
      </w:r>
      <w:r>
        <w:rPr/>
        <w:t>(DAS)</w:t>
      </w:r>
    </w:p>
    <w:p>
      <w:pPr>
        <w:pStyle w:val="ListParagraph"/>
        <w:numPr>
          <w:ilvl w:val="0"/>
          <w:numId w:val="16"/>
        </w:numPr>
        <w:tabs>
          <w:tab w:pos="1301" w:val="left" w:leader="none"/>
        </w:tabs>
        <w:spacing w:line="240" w:lineRule="auto" w:before="122" w:after="0"/>
        <w:ind w:left="1300" w:right="798" w:hanging="360"/>
        <w:jc w:val="left"/>
        <w:rPr>
          <w:sz w:val="22"/>
        </w:rPr>
      </w:pPr>
      <w:r>
        <w:rPr>
          <w:sz w:val="22"/>
        </w:rPr>
        <w:t>The DAS shall have full administrative capabilities enabled to the unit’s metering lead for initial configuration and for ongoing use of console level</w:t>
      </w:r>
      <w:r>
        <w:rPr>
          <w:spacing w:val="-7"/>
          <w:sz w:val="22"/>
        </w:rPr>
        <w:t> </w:t>
      </w:r>
      <w:r>
        <w:rPr>
          <w:sz w:val="22"/>
        </w:rPr>
        <w:t>metrics.</w:t>
      </w:r>
    </w:p>
    <w:p>
      <w:pPr>
        <w:pStyle w:val="ListParagraph"/>
        <w:numPr>
          <w:ilvl w:val="0"/>
          <w:numId w:val="16"/>
        </w:numPr>
        <w:tabs>
          <w:tab w:pos="1301" w:val="left" w:leader="none"/>
        </w:tabs>
        <w:spacing w:line="240" w:lineRule="auto" w:before="120" w:after="0"/>
        <w:ind w:left="1300" w:right="0" w:hanging="360"/>
        <w:jc w:val="left"/>
        <w:rPr>
          <w:sz w:val="22"/>
        </w:rPr>
      </w:pPr>
      <w:r>
        <w:rPr>
          <w:sz w:val="22"/>
        </w:rPr>
        <w:t>For configuration of the DAS: (refer to DAS Manual)</w:t>
      </w:r>
      <w:r>
        <w:rPr>
          <w:color w:val="0000FF"/>
          <w:spacing w:val="-4"/>
          <w:sz w:val="22"/>
        </w:rPr>
        <w:t> </w:t>
      </w:r>
      <w:hyperlink r:id="rId39">
        <w:r>
          <w:rPr>
            <w:color w:val="0000FF"/>
            <w:sz w:val="22"/>
            <w:u w:val="single" w:color="0000FF"/>
          </w:rPr>
          <w:t>http://www.obvius.com</w:t>
        </w:r>
      </w:hyperlink>
    </w:p>
    <w:p>
      <w:pPr>
        <w:pStyle w:val="ListParagraph"/>
        <w:numPr>
          <w:ilvl w:val="0"/>
          <w:numId w:val="16"/>
        </w:numPr>
        <w:tabs>
          <w:tab w:pos="1301" w:val="left" w:leader="none"/>
        </w:tabs>
        <w:spacing w:line="240" w:lineRule="auto" w:before="122" w:after="0"/>
        <w:ind w:left="1300" w:right="1342" w:hanging="360"/>
        <w:jc w:val="left"/>
        <w:rPr>
          <w:sz w:val="22"/>
        </w:rPr>
      </w:pPr>
      <w:r>
        <w:rPr>
          <w:sz w:val="22"/>
        </w:rPr>
        <w:t>The check box to allow remote configuration shall be checked on the</w:t>
      </w:r>
      <w:r>
        <w:rPr>
          <w:spacing w:val="-41"/>
          <w:sz w:val="22"/>
        </w:rPr>
        <w:t> </w:t>
      </w:r>
      <w:r>
        <w:rPr>
          <w:sz w:val="22"/>
        </w:rPr>
        <w:t>“LogFileData, Setup/Upload” page (See DAS</w:t>
      </w:r>
      <w:r>
        <w:rPr>
          <w:spacing w:val="-3"/>
          <w:sz w:val="22"/>
        </w:rPr>
        <w:t> </w:t>
      </w:r>
      <w:r>
        <w:rPr>
          <w:sz w:val="22"/>
        </w:rPr>
        <w:t>Manual.)</w:t>
      </w:r>
    </w:p>
    <w:p>
      <w:pPr>
        <w:pStyle w:val="ListParagraph"/>
        <w:numPr>
          <w:ilvl w:val="0"/>
          <w:numId w:val="16"/>
        </w:numPr>
        <w:tabs>
          <w:tab w:pos="1301" w:val="left" w:leader="none"/>
        </w:tabs>
        <w:spacing w:line="240" w:lineRule="auto" w:before="118" w:after="0"/>
        <w:ind w:left="1300" w:right="992" w:hanging="360"/>
        <w:jc w:val="left"/>
        <w:rPr>
          <w:sz w:val="22"/>
        </w:rPr>
      </w:pPr>
      <w:r>
        <w:rPr>
          <w:sz w:val="22"/>
        </w:rPr>
        <w:t>A cellular modem shall be installed as part of the DAS installation or add to existing DAS. Contractor or unit shall notify USCG SILC Energy Branch 30 days in advance to request cellular ISP information for</w:t>
      </w:r>
      <w:r>
        <w:rPr>
          <w:spacing w:val="-6"/>
          <w:sz w:val="22"/>
        </w:rPr>
        <w:t> </w:t>
      </w:r>
      <w:r>
        <w:rPr>
          <w:sz w:val="22"/>
        </w:rPr>
        <w:t>connectivity.</w:t>
      </w:r>
    </w:p>
    <w:p>
      <w:pPr>
        <w:pStyle w:val="ListParagraph"/>
        <w:numPr>
          <w:ilvl w:val="1"/>
          <w:numId w:val="16"/>
        </w:numPr>
        <w:tabs>
          <w:tab w:pos="2021" w:val="left" w:leader="none"/>
        </w:tabs>
        <w:spacing w:line="240" w:lineRule="auto" w:before="122" w:after="0"/>
        <w:ind w:left="2020" w:right="1449" w:hanging="360"/>
        <w:jc w:val="left"/>
        <w:rPr>
          <w:sz w:val="22"/>
        </w:rPr>
      </w:pPr>
      <w:r>
        <w:rPr>
          <w:sz w:val="22"/>
        </w:rPr>
        <w:t>The DAS shall be connected to cellular modem compatible with the USCG Cellular and Internet Service Provider (ISP)</w:t>
      </w:r>
      <w:r>
        <w:rPr>
          <w:spacing w:val="-3"/>
          <w:sz w:val="22"/>
        </w:rPr>
        <w:t> </w:t>
      </w:r>
      <w:r>
        <w:rPr>
          <w:sz w:val="22"/>
        </w:rPr>
        <w:t>service.</w:t>
      </w:r>
    </w:p>
    <w:p>
      <w:pPr>
        <w:pStyle w:val="ListParagraph"/>
        <w:numPr>
          <w:ilvl w:val="1"/>
          <w:numId w:val="16"/>
        </w:numPr>
        <w:tabs>
          <w:tab w:pos="2021" w:val="left" w:leader="none"/>
        </w:tabs>
        <w:spacing w:line="240" w:lineRule="auto" w:before="118" w:after="0"/>
        <w:ind w:left="2020" w:right="1008" w:hanging="360"/>
        <w:jc w:val="left"/>
        <w:rPr>
          <w:sz w:val="22"/>
        </w:rPr>
      </w:pPr>
      <w:r>
        <w:rPr>
          <w:sz w:val="22"/>
        </w:rPr>
        <w:t>If Cellular Service in not available, The DAS shall be configured to dial out land line or POTS (Plain Old Telephone Service) using the ISP phone number and access.</w:t>
      </w:r>
    </w:p>
    <w:p>
      <w:pPr>
        <w:pStyle w:val="ListParagraph"/>
        <w:numPr>
          <w:ilvl w:val="0"/>
          <w:numId w:val="16"/>
        </w:numPr>
        <w:tabs>
          <w:tab w:pos="1301" w:val="left" w:leader="none"/>
        </w:tabs>
        <w:spacing w:line="240" w:lineRule="auto" w:before="122" w:after="0"/>
        <w:ind w:left="1300" w:right="918" w:hanging="360"/>
        <w:jc w:val="left"/>
        <w:rPr>
          <w:sz w:val="22"/>
        </w:rPr>
      </w:pPr>
      <w:r>
        <w:rPr>
          <w:sz w:val="22"/>
        </w:rPr>
        <w:t>The Coast Guard unit shall notify SILC Energy Branch it is ready for the interface to the selected</w:t>
      </w:r>
      <w:r>
        <w:rPr>
          <w:spacing w:val="-1"/>
          <w:sz w:val="22"/>
        </w:rPr>
        <w:t> </w:t>
      </w:r>
      <w:r>
        <w:rPr>
          <w:sz w:val="22"/>
        </w:rPr>
        <w:t>EDMS.</w:t>
      </w:r>
    </w:p>
    <w:p>
      <w:pPr>
        <w:pStyle w:val="ListParagraph"/>
        <w:numPr>
          <w:ilvl w:val="0"/>
          <w:numId w:val="16"/>
        </w:numPr>
        <w:tabs>
          <w:tab w:pos="1301" w:val="left" w:leader="none"/>
        </w:tabs>
        <w:spacing w:line="240" w:lineRule="auto" w:before="121" w:after="0"/>
        <w:ind w:left="1300" w:right="0" w:hanging="360"/>
        <w:jc w:val="left"/>
        <w:rPr>
          <w:sz w:val="22"/>
        </w:rPr>
      </w:pPr>
      <w:r>
        <w:rPr>
          <w:sz w:val="22"/>
        </w:rPr>
        <w:t>The metering contractor shall verify the new DAS is active on the EDMS</w:t>
      </w:r>
      <w:r>
        <w:rPr>
          <w:spacing w:val="-11"/>
          <w:sz w:val="22"/>
        </w:rPr>
        <w:t> </w:t>
      </w:r>
      <w:r>
        <w:rPr>
          <w:sz w:val="22"/>
        </w:rPr>
        <w:t>website.</w:t>
      </w:r>
    </w:p>
    <w:p>
      <w:pPr>
        <w:pStyle w:val="BodyText"/>
        <w:spacing w:before="6"/>
        <w:rPr>
          <w:sz w:val="20"/>
        </w:rPr>
      </w:pPr>
    </w:p>
    <w:p>
      <w:pPr>
        <w:pStyle w:val="Heading3"/>
        <w:numPr>
          <w:ilvl w:val="2"/>
          <w:numId w:val="12"/>
        </w:numPr>
        <w:tabs>
          <w:tab w:pos="1300" w:val="left" w:leader="none"/>
          <w:tab w:pos="1301" w:val="left" w:leader="none"/>
        </w:tabs>
        <w:spacing w:line="240" w:lineRule="auto" w:before="0" w:after="0"/>
        <w:ind w:left="1300" w:right="0" w:hanging="720"/>
        <w:jc w:val="left"/>
      </w:pPr>
      <w:bookmarkStart w:name="_bookmark35" w:id="62"/>
      <w:bookmarkEnd w:id="62"/>
      <w:r>
        <w:rPr>
          <w:b w:val="0"/>
        </w:rPr>
      </w:r>
      <w:bookmarkStart w:name="_bookmark35" w:id="63"/>
      <w:bookmarkEnd w:id="63"/>
      <w:r>
        <w:rPr/>
        <w:t>T</w:t>
      </w:r>
      <w:r>
        <w:rPr/>
        <w:t>ransceivers</w:t>
      </w:r>
    </w:p>
    <w:p>
      <w:pPr>
        <w:pStyle w:val="ListParagraph"/>
        <w:numPr>
          <w:ilvl w:val="0"/>
          <w:numId w:val="17"/>
        </w:numPr>
        <w:tabs>
          <w:tab w:pos="1301" w:val="left" w:leader="none"/>
        </w:tabs>
        <w:spacing w:line="240" w:lineRule="auto" w:before="122" w:after="0"/>
        <w:ind w:left="1300" w:right="1139" w:hanging="360"/>
        <w:jc w:val="left"/>
        <w:rPr>
          <w:sz w:val="22"/>
        </w:rPr>
      </w:pPr>
      <w:r>
        <w:rPr>
          <w:sz w:val="22"/>
        </w:rPr>
        <w:t>Installation technicians shall ensure unique address for each transceiver, settable via dipswitches on each device, in order to mitigate conflicts and ease troubleshooting efforts. Refer to </w:t>
      </w:r>
      <w:hyperlink w:history="true" w:anchor="_bookmark49">
        <w:r>
          <w:rPr>
            <w:sz w:val="22"/>
          </w:rPr>
          <w:t>Appendix F </w:t>
        </w:r>
      </w:hyperlink>
      <w:r>
        <w:rPr>
          <w:sz w:val="22"/>
        </w:rPr>
        <w:t>- AMI Equipment Naming Convention</w:t>
      </w:r>
      <w:r>
        <w:rPr>
          <w:spacing w:val="-6"/>
          <w:sz w:val="22"/>
        </w:rPr>
        <w:t> </w:t>
      </w:r>
      <w:r>
        <w:rPr>
          <w:sz w:val="22"/>
        </w:rPr>
        <w:t>Document.</w:t>
      </w:r>
    </w:p>
    <w:p>
      <w:pPr>
        <w:pStyle w:val="ListParagraph"/>
        <w:numPr>
          <w:ilvl w:val="0"/>
          <w:numId w:val="17"/>
        </w:numPr>
        <w:tabs>
          <w:tab w:pos="1301" w:val="left" w:leader="none"/>
        </w:tabs>
        <w:spacing w:line="240" w:lineRule="auto" w:before="122" w:after="0"/>
        <w:ind w:left="1300" w:right="0" w:hanging="360"/>
        <w:jc w:val="left"/>
        <w:rPr>
          <w:sz w:val="22"/>
        </w:rPr>
      </w:pPr>
      <w:r>
        <w:rPr>
          <w:sz w:val="22"/>
        </w:rPr>
        <w:t>Installation shall comply with NFPA 70 and</w:t>
      </w:r>
      <w:r>
        <w:rPr>
          <w:spacing w:val="-2"/>
          <w:sz w:val="22"/>
        </w:rPr>
        <w:t> </w:t>
      </w:r>
      <w:r>
        <w:rPr>
          <w:sz w:val="22"/>
        </w:rPr>
        <w:t>NEC.</w:t>
      </w:r>
    </w:p>
    <w:p>
      <w:pPr>
        <w:pStyle w:val="ListParagraph"/>
        <w:numPr>
          <w:ilvl w:val="0"/>
          <w:numId w:val="17"/>
        </w:numPr>
        <w:tabs>
          <w:tab w:pos="1301" w:val="left" w:leader="none"/>
        </w:tabs>
        <w:spacing w:line="240" w:lineRule="auto" w:before="119" w:after="0"/>
        <w:ind w:left="1300" w:right="1034" w:hanging="360"/>
        <w:jc w:val="left"/>
        <w:rPr>
          <w:sz w:val="22"/>
        </w:rPr>
      </w:pPr>
      <w:r>
        <w:rPr>
          <w:sz w:val="22"/>
        </w:rPr>
        <w:t>Equipment, installation, and wiring shall comply with industry specifications,</w:t>
      </w:r>
      <w:r>
        <w:rPr>
          <w:spacing w:val="-25"/>
          <w:sz w:val="22"/>
        </w:rPr>
        <w:t> </w:t>
      </w:r>
      <w:r>
        <w:rPr>
          <w:sz w:val="22"/>
        </w:rPr>
        <w:t>standards and local codes for performance, reliability, and</w:t>
      </w:r>
      <w:r>
        <w:rPr>
          <w:spacing w:val="-7"/>
          <w:sz w:val="22"/>
        </w:rPr>
        <w:t> </w:t>
      </w:r>
      <w:r>
        <w:rPr>
          <w:sz w:val="22"/>
        </w:rPr>
        <w:t>compatibility.</w:t>
      </w:r>
    </w:p>
    <w:p>
      <w:pPr>
        <w:pStyle w:val="ListParagraph"/>
        <w:numPr>
          <w:ilvl w:val="0"/>
          <w:numId w:val="17"/>
        </w:numPr>
        <w:tabs>
          <w:tab w:pos="1301" w:val="left" w:leader="none"/>
        </w:tabs>
        <w:spacing w:line="240" w:lineRule="auto" w:before="120" w:after="0"/>
        <w:ind w:left="1300" w:right="810" w:hanging="360"/>
        <w:jc w:val="left"/>
        <w:rPr>
          <w:sz w:val="22"/>
        </w:rPr>
      </w:pPr>
      <w:r>
        <w:rPr>
          <w:sz w:val="22"/>
        </w:rPr>
        <w:t>Hardwired installations shall use shielded twisted-pair 2 conductor cable compatible with Belden</w:t>
      </w:r>
      <w:r>
        <w:rPr>
          <w:spacing w:val="-1"/>
          <w:sz w:val="22"/>
        </w:rPr>
        <w:t> </w:t>
      </w:r>
      <w:r>
        <w:rPr>
          <w:sz w:val="22"/>
        </w:rPr>
        <w:t>1120A.</w:t>
      </w:r>
    </w:p>
    <w:p>
      <w:pPr>
        <w:pStyle w:val="ListParagraph"/>
        <w:numPr>
          <w:ilvl w:val="0"/>
          <w:numId w:val="17"/>
        </w:numPr>
        <w:tabs>
          <w:tab w:pos="1301" w:val="left" w:leader="none"/>
        </w:tabs>
        <w:spacing w:line="240" w:lineRule="auto" w:before="121" w:after="0"/>
        <w:ind w:left="1300" w:right="846" w:hanging="360"/>
        <w:jc w:val="left"/>
        <w:rPr>
          <w:sz w:val="22"/>
        </w:rPr>
      </w:pPr>
      <w:r>
        <w:rPr>
          <w:sz w:val="22"/>
        </w:rPr>
        <w:t>Installation technicians shall locate transceivers in suitable areas-side or rear facades of buildings if possible, free from large metal plates or sources of radio signals, electrical panels, obstructed locations, thick concrete walls, or areas of high electrical</w:t>
      </w:r>
      <w:r>
        <w:rPr>
          <w:spacing w:val="-13"/>
          <w:sz w:val="22"/>
        </w:rPr>
        <w:t> </w:t>
      </w:r>
      <w:r>
        <w:rPr>
          <w:sz w:val="22"/>
        </w:rPr>
        <w:t>noise.</w:t>
      </w:r>
    </w:p>
    <w:p>
      <w:pPr>
        <w:pStyle w:val="ListParagraph"/>
        <w:numPr>
          <w:ilvl w:val="0"/>
          <w:numId w:val="17"/>
        </w:numPr>
        <w:tabs>
          <w:tab w:pos="1301" w:val="left" w:leader="none"/>
        </w:tabs>
        <w:spacing w:line="240" w:lineRule="auto" w:before="119" w:after="0"/>
        <w:ind w:left="1300" w:right="911" w:hanging="360"/>
        <w:jc w:val="left"/>
        <w:rPr>
          <w:sz w:val="22"/>
        </w:rPr>
      </w:pPr>
      <w:r>
        <w:rPr>
          <w:sz w:val="22"/>
        </w:rPr>
        <w:t>Installation technicians shall verify with local facilities personnel the presence of cellular repeaters or Wi-Fi</w:t>
      </w:r>
      <w:r>
        <w:rPr>
          <w:spacing w:val="-4"/>
          <w:sz w:val="22"/>
        </w:rPr>
        <w:t> </w:t>
      </w:r>
      <w:r>
        <w:rPr>
          <w:sz w:val="22"/>
        </w:rPr>
        <w:t>networks.</w:t>
      </w:r>
    </w:p>
    <w:p>
      <w:pPr>
        <w:pStyle w:val="ListParagraph"/>
        <w:numPr>
          <w:ilvl w:val="0"/>
          <w:numId w:val="17"/>
        </w:numPr>
        <w:tabs>
          <w:tab w:pos="1301" w:val="left" w:leader="none"/>
        </w:tabs>
        <w:spacing w:line="240" w:lineRule="auto" w:before="121" w:after="0"/>
        <w:ind w:left="1300" w:right="869" w:hanging="360"/>
        <w:jc w:val="left"/>
        <w:rPr>
          <w:sz w:val="22"/>
        </w:rPr>
      </w:pPr>
      <w:r>
        <w:rPr>
          <w:sz w:val="22"/>
        </w:rPr>
        <w:t>Install transceivers as per manufacturer's recommendations and best practices, in order to maximize strength of wireless communication. If the wireless connection between transceivers is weak or intermittent, additional relay transceiver(s) or external antennas shall be installed to facilitate reliable</w:t>
      </w:r>
      <w:r>
        <w:rPr>
          <w:spacing w:val="-7"/>
          <w:sz w:val="22"/>
        </w:rPr>
        <w:t> </w:t>
      </w:r>
      <w:r>
        <w:rPr>
          <w:sz w:val="22"/>
        </w:rPr>
        <w:t>communication.</w:t>
      </w:r>
    </w:p>
    <w:p>
      <w:pPr>
        <w:pStyle w:val="BodyText"/>
      </w:pPr>
    </w:p>
    <w:p>
      <w:pPr>
        <w:pStyle w:val="ListParagraph"/>
        <w:numPr>
          <w:ilvl w:val="0"/>
          <w:numId w:val="17"/>
        </w:numPr>
        <w:tabs>
          <w:tab w:pos="1301" w:val="left" w:leader="none"/>
        </w:tabs>
        <w:spacing w:line="240" w:lineRule="auto" w:before="0" w:after="0"/>
        <w:ind w:left="1300" w:right="760" w:hanging="360"/>
        <w:jc w:val="left"/>
        <w:rPr>
          <w:sz w:val="22"/>
        </w:rPr>
      </w:pPr>
      <w:r>
        <w:rPr>
          <w:sz w:val="22"/>
        </w:rPr>
        <w:t>Transceivers shall be mounted a minimum of 10 feet away from other radio devices, including other transceivers, cordless phones, and Wi-Fi access points. This minimum is based on typical transmitting power—greater distance may be desired from sources of greater power such as cell phone towers and communication</w:t>
      </w:r>
      <w:r>
        <w:rPr>
          <w:spacing w:val="-9"/>
          <w:sz w:val="22"/>
        </w:rPr>
        <w:t> </w:t>
      </w:r>
      <w:r>
        <w:rPr>
          <w:sz w:val="22"/>
        </w:rPr>
        <w:t>transmitters.</w:t>
      </w:r>
    </w:p>
    <w:p>
      <w:pPr>
        <w:pStyle w:val="ListParagraph"/>
        <w:numPr>
          <w:ilvl w:val="0"/>
          <w:numId w:val="17"/>
        </w:numPr>
        <w:tabs>
          <w:tab w:pos="1300" w:val="left" w:leader="none"/>
          <w:tab w:pos="1301" w:val="left" w:leader="none"/>
        </w:tabs>
        <w:spacing w:line="240" w:lineRule="auto" w:before="119" w:after="0"/>
        <w:ind w:left="1300" w:right="1510" w:hanging="360"/>
        <w:jc w:val="left"/>
        <w:rPr>
          <w:sz w:val="22"/>
        </w:rPr>
      </w:pPr>
      <w:r>
        <w:rPr>
          <w:sz w:val="22"/>
        </w:rPr>
        <w:t>Transceivers are powered by a 120v wall mounted transformer, and thus shall be mounted close to an available receptacle securely to a</w:t>
      </w:r>
      <w:r>
        <w:rPr>
          <w:spacing w:val="-14"/>
          <w:sz w:val="22"/>
        </w:rPr>
        <w:t> </w:t>
      </w:r>
      <w:r>
        <w:rPr>
          <w:sz w:val="22"/>
        </w:rPr>
        <w:t>wall.</w:t>
      </w:r>
    </w:p>
    <w:p>
      <w:pPr>
        <w:spacing w:after="0" w:line="240" w:lineRule="auto"/>
        <w:jc w:val="left"/>
        <w:rPr>
          <w:sz w:val="22"/>
        </w:rPr>
        <w:sectPr>
          <w:pgSz w:w="12240" w:h="15840"/>
          <w:pgMar w:header="724" w:footer="1020" w:top="1220" w:bottom="1220" w:left="860" w:right="680"/>
        </w:sectPr>
      </w:pPr>
    </w:p>
    <w:p>
      <w:pPr>
        <w:pStyle w:val="BodyText"/>
        <w:spacing w:before="6"/>
        <w:rPr>
          <w:sz w:val="10"/>
        </w:rPr>
      </w:pPr>
    </w:p>
    <w:p>
      <w:pPr>
        <w:pStyle w:val="ListParagraph"/>
        <w:numPr>
          <w:ilvl w:val="0"/>
          <w:numId w:val="17"/>
        </w:numPr>
        <w:tabs>
          <w:tab w:pos="1301" w:val="left" w:leader="none"/>
        </w:tabs>
        <w:spacing w:line="240" w:lineRule="auto" w:before="94" w:after="0"/>
        <w:ind w:left="1300" w:right="1266" w:hanging="360"/>
        <w:jc w:val="left"/>
        <w:rPr>
          <w:sz w:val="22"/>
        </w:rPr>
      </w:pPr>
      <w:r>
        <w:rPr>
          <w:sz w:val="22"/>
        </w:rPr>
        <w:t>Transceivers shall not be mounted on metal objects. The antenna of the</w:t>
      </w:r>
      <w:r>
        <w:rPr>
          <w:spacing w:val="-22"/>
          <w:sz w:val="22"/>
        </w:rPr>
        <w:t> </w:t>
      </w:r>
      <w:r>
        <w:rPr>
          <w:sz w:val="22"/>
        </w:rPr>
        <w:t>transceiver must be free and clear of metal beams, conduit, pipes, ducts,</w:t>
      </w:r>
      <w:r>
        <w:rPr>
          <w:spacing w:val="-4"/>
          <w:sz w:val="22"/>
        </w:rPr>
        <w:t> </w:t>
      </w:r>
      <w:r>
        <w:rPr>
          <w:sz w:val="22"/>
        </w:rPr>
        <w:t>etc.</w:t>
      </w:r>
    </w:p>
    <w:p>
      <w:pPr>
        <w:pStyle w:val="ListParagraph"/>
        <w:numPr>
          <w:ilvl w:val="0"/>
          <w:numId w:val="17"/>
        </w:numPr>
        <w:tabs>
          <w:tab w:pos="1301" w:val="left" w:leader="none"/>
        </w:tabs>
        <w:spacing w:line="240" w:lineRule="auto" w:before="120" w:after="0"/>
        <w:ind w:left="1300" w:right="1107" w:hanging="360"/>
        <w:jc w:val="left"/>
        <w:rPr>
          <w:sz w:val="22"/>
        </w:rPr>
      </w:pPr>
      <w:r>
        <w:rPr>
          <w:sz w:val="22"/>
        </w:rPr>
        <w:t>All transceivers, cables, power cables, and any other wires shall be neatly routed</w:t>
      </w:r>
      <w:r>
        <w:rPr>
          <w:spacing w:val="-23"/>
          <w:sz w:val="22"/>
        </w:rPr>
        <w:t> </w:t>
      </w:r>
      <w:r>
        <w:rPr>
          <w:sz w:val="22"/>
        </w:rPr>
        <w:t>and secured resulting in a neat, orderly</w:t>
      </w:r>
      <w:r>
        <w:rPr>
          <w:spacing w:val="-5"/>
          <w:sz w:val="22"/>
        </w:rPr>
        <w:t> </w:t>
      </w:r>
      <w:r>
        <w:rPr>
          <w:sz w:val="22"/>
        </w:rPr>
        <w:t>appearance.</w:t>
      </w:r>
    </w:p>
    <w:p>
      <w:pPr>
        <w:pStyle w:val="ListParagraph"/>
        <w:numPr>
          <w:ilvl w:val="0"/>
          <w:numId w:val="17"/>
        </w:numPr>
        <w:tabs>
          <w:tab w:pos="1301" w:val="left" w:leader="none"/>
        </w:tabs>
        <w:spacing w:line="240" w:lineRule="auto" w:before="121" w:after="0"/>
        <w:ind w:left="1300" w:right="758" w:hanging="360"/>
        <w:jc w:val="left"/>
        <w:rPr>
          <w:sz w:val="22"/>
        </w:rPr>
      </w:pPr>
      <w:r>
        <w:rPr>
          <w:sz w:val="22"/>
        </w:rPr>
        <w:t>Upon establishment of transceivers into a new or existing communications network, each meter bank shall be brought on line sequentially on the transceiver to provide for indications of wiring problems, malfunctioning meters, improper installation, or duplicated addresses. Five minutes minimum shall be provided for the circuit to stabilize prior to troubleshooting.</w:t>
      </w:r>
    </w:p>
    <w:p>
      <w:pPr>
        <w:pStyle w:val="ListParagraph"/>
        <w:numPr>
          <w:ilvl w:val="0"/>
          <w:numId w:val="17"/>
        </w:numPr>
        <w:tabs>
          <w:tab w:pos="1301" w:val="left" w:leader="none"/>
        </w:tabs>
        <w:spacing w:line="240" w:lineRule="auto" w:before="120" w:after="0"/>
        <w:ind w:left="1300" w:right="776" w:hanging="360"/>
        <w:jc w:val="left"/>
        <w:rPr>
          <w:sz w:val="22"/>
        </w:rPr>
      </w:pPr>
      <w:r>
        <w:rPr>
          <w:sz w:val="22"/>
        </w:rPr>
        <w:t>Upon establishment of transceivers into a new or existing communications network, there shall be an audit of network addresses to ensure there are no duplicate</w:t>
      </w:r>
      <w:r>
        <w:rPr>
          <w:spacing w:val="-23"/>
          <w:sz w:val="22"/>
        </w:rPr>
        <w:t> </w:t>
      </w:r>
      <w:r>
        <w:rPr>
          <w:sz w:val="22"/>
        </w:rPr>
        <w:t>addresses, between transceivers, or between transceivers and advanced</w:t>
      </w:r>
      <w:r>
        <w:rPr>
          <w:spacing w:val="-1"/>
          <w:sz w:val="22"/>
        </w:rPr>
        <w:t> </w:t>
      </w:r>
      <w:r>
        <w:rPr>
          <w:sz w:val="22"/>
        </w:rPr>
        <w:t>meters.</w:t>
      </w:r>
    </w:p>
    <w:p>
      <w:pPr>
        <w:pStyle w:val="BodyText"/>
        <w:spacing w:before="11"/>
        <w:rPr>
          <w:sz w:val="20"/>
        </w:rPr>
      </w:pPr>
    </w:p>
    <w:p>
      <w:pPr>
        <w:pStyle w:val="Heading2"/>
        <w:numPr>
          <w:ilvl w:val="1"/>
          <w:numId w:val="18"/>
        </w:numPr>
        <w:tabs>
          <w:tab w:pos="1156" w:val="left" w:leader="none"/>
          <w:tab w:pos="1157" w:val="left" w:leader="none"/>
        </w:tabs>
        <w:spacing w:line="240" w:lineRule="auto" w:before="0" w:after="0"/>
        <w:ind w:left="1156" w:right="0" w:hanging="576"/>
        <w:jc w:val="left"/>
      </w:pPr>
      <w:bookmarkStart w:name="_bookmark36" w:id="64"/>
      <w:bookmarkEnd w:id="64"/>
      <w:r>
        <w:rPr>
          <w:b w:val="0"/>
        </w:rPr>
      </w:r>
      <w:bookmarkStart w:name="_bookmark36" w:id="65"/>
      <w:bookmarkEnd w:id="65"/>
      <w:r>
        <w:rPr/>
        <w:t>Submitt</w:t>
      </w:r>
      <w:r>
        <w:rPr/>
        <w:t>als</w:t>
      </w:r>
    </w:p>
    <w:p>
      <w:pPr>
        <w:pStyle w:val="ListParagraph"/>
        <w:numPr>
          <w:ilvl w:val="2"/>
          <w:numId w:val="18"/>
        </w:numPr>
        <w:tabs>
          <w:tab w:pos="1301" w:val="left" w:leader="none"/>
        </w:tabs>
        <w:spacing w:line="240" w:lineRule="auto" w:before="117" w:after="0"/>
        <w:ind w:left="1300" w:right="765" w:hanging="360"/>
        <w:jc w:val="left"/>
        <w:rPr>
          <w:sz w:val="22"/>
        </w:rPr>
      </w:pPr>
      <w:r>
        <w:rPr>
          <w:sz w:val="22"/>
        </w:rPr>
        <w:t>The contractor shall provide the following information to the Coast Guard for each metering device installed: CG installation name, the common name of the building,</w:t>
      </w:r>
      <w:r>
        <w:rPr>
          <w:spacing w:val="-25"/>
          <w:sz w:val="22"/>
        </w:rPr>
        <w:t> </w:t>
      </w:r>
      <w:r>
        <w:rPr>
          <w:sz w:val="22"/>
        </w:rPr>
        <w:t>shore tie or equipment being metered, location of installation (to include the electrical panel number and building name and RPUID), size of meter, device number, device address, serial number, location of associated transceiver, device number of associated transceiver, name and location of associated DAS. The contractor shall provide a digital photograph of each set of metering devices after it has been installed in its final location. Multiple devices may be captured in a single photograph if installed within the same location. All information listed above shall be provided to the Mission Support Product Line.</w:t>
      </w:r>
    </w:p>
    <w:p>
      <w:pPr>
        <w:pStyle w:val="BodyText"/>
        <w:spacing w:before="6"/>
        <w:rPr>
          <w:sz w:val="25"/>
        </w:rPr>
      </w:pPr>
    </w:p>
    <w:p>
      <w:pPr>
        <w:pStyle w:val="ListParagraph"/>
        <w:numPr>
          <w:ilvl w:val="2"/>
          <w:numId w:val="18"/>
        </w:numPr>
        <w:tabs>
          <w:tab w:pos="1301" w:val="left" w:leader="none"/>
        </w:tabs>
        <w:spacing w:line="240" w:lineRule="auto" w:before="0" w:after="0"/>
        <w:ind w:left="1300" w:right="897" w:hanging="360"/>
        <w:jc w:val="left"/>
        <w:rPr>
          <w:sz w:val="22"/>
        </w:rPr>
      </w:pPr>
      <w:r>
        <w:rPr>
          <w:sz w:val="22"/>
        </w:rPr>
        <w:t>The contractor shall provide the following information to the Coast Guard for each DAS, I/O flex module and transceiver device installed: CG installation name, location of installation (to include the building name or number), device number, device address, serial number(or Pulse #), location of power supply, transceiver signal strength (bars), location of external antennas (if applicable). All information listed above shall be provided to the Mission Support Product</w:t>
      </w:r>
      <w:r>
        <w:rPr>
          <w:spacing w:val="2"/>
          <w:sz w:val="22"/>
        </w:rPr>
        <w:t> </w:t>
      </w:r>
      <w:r>
        <w:rPr>
          <w:sz w:val="22"/>
        </w:rPr>
        <w:t>Line.</w:t>
      </w:r>
    </w:p>
    <w:p>
      <w:pPr>
        <w:pStyle w:val="BodyText"/>
        <w:spacing w:before="2"/>
        <w:rPr>
          <w:sz w:val="25"/>
        </w:rPr>
      </w:pPr>
    </w:p>
    <w:p>
      <w:pPr>
        <w:pStyle w:val="ListParagraph"/>
        <w:numPr>
          <w:ilvl w:val="2"/>
          <w:numId w:val="18"/>
        </w:numPr>
        <w:tabs>
          <w:tab w:pos="1301" w:val="left" w:leader="none"/>
        </w:tabs>
        <w:spacing w:line="240" w:lineRule="auto" w:before="0" w:after="0"/>
        <w:ind w:left="1300" w:right="789" w:hanging="360"/>
        <w:jc w:val="left"/>
        <w:rPr>
          <w:sz w:val="22"/>
        </w:rPr>
      </w:pPr>
      <w:r>
        <w:rPr>
          <w:sz w:val="22"/>
        </w:rPr>
        <w:t>The contractor shall include the location of metering equipment on electrical and</w:t>
      </w:r>
      <w:r>
        <w:rPr>
          <w:spacing w:val="-26"/>
          <w:sz w:val="22"/>
        </w:rPr>
        <w:t> </w:t>
      </w:r>
      <w:r>
        <w:rPr>
          <w:sz w:val="22"/>
        </w:rPr>
        <w:t>building utility drawings (as applicable for electrical, water and gas meters) submitted as part of the original scope of</w:t>
      </w:r>
      <w:r>
        <w:rPr>
          <w:spacing w:val="-1"/>
          <w:sz w:val="22"/>
        </w:rPr>
        <w:t> </w:t>
      </w:r>
      <w:r>
        <w:rPr>
          <w:sz w:val="22"/>
        </w:rPr>
        <w:t>work.</w:t>
      </w:r>
    </w:p>
    <w:p>
      <w:pPr>
        <w:pStyle w:val="BodyText"/>
        <w:spacing w:before="4"/>
        <w:rPr>
          <w:sz w:val="25"/>
        </w:rPr>
      </w:pPr>
    </w:p>
    <w:p>
      <w:pPr>
        <w:pStyle w:val="ListParagraph"/>
        <w:numPr>
          <w:ilvl w:val="2"/>
          <w:numId w:val="18"/>
        </w:numPr>
        <w:tabs>
          <w:tab w:pos="1301" w:val="left" w:leader="none"/>
        </w:tabs>
        <w:spacing w:line="240" w:lineRule="auto" w:before="1" w:after="0"/>
        <w:ind w:left="1300" w:right="845" w:hanging="360"/>
        <w:jc w:val="left"/>
        <w:rPr>
          <w:sz w:val="22"/>
        </w:rPr>
      </w:pPr>
      <w:r>
        <w:rPr>
          <w:sz w:val="22"/>
        </w:rPr>
        <w:t>The contractor shall provide a single-line network diagram for each DAS to include each Modbus Device and sizing of each meter (V/AMP, Pipe Dia.) - and provide an As-built drawing of the metering system to include schematic location of metering equipment relative to building and or shore tie. See Appendix</w:t>
      </w:r>
      <w:r>
        <w:rPr>
          <w:spacing w:val="-3"/>
          <w:sz w:val="22"/>
        </w:rPr>
        <w:t> </w:t>
      </w:r>
      <w:r>
        <w:rPr>
          <w:sz w:val="22"/>
        </w:rPr>
        <w:t>E.</w:t>
      </w:r>
    </w:p>
    <w:p>
      <w:pPr>
        <w:pStyle w:val="BodyText"/>
        <w:spacing w:before="4"/>
        <w:rPr>
          <w:sz w:val="25"/>
        </w:rPr>
      </w:pPr>
    </w:p>
    <w:p>
      <w:pPr>
        <w:pStyle w:val="ListParagraph"/>
        <w:numPr>
          <w:ilvl w:val="2"/>
          <w:numId w:val="18"/>
        </w:numPr>
        <w:tabs>
          <w:tab w:pos="1301" w:val="left" w:leader="none"/>
        </w:tabs>
        <w:spacing w:line="240" w:lineRule="auto" w:before="0" w:after="0"/>
        <w:ind w:left="1300" w:right="810" w:hanging="360"/>
        <w:jc w:val="left"/>
        <w:rPr>
          <w:sz w:val="22"/>
        </w:rPr>
      </w:pPr>
      <w:r>
        <w:rPr>
          <w:sz w:val="22"/>
        </w:rPr>
        <w:t>The contractor shall provide a screenshot of the AcquiSuite route mapping display/Modhopper route map to depict the signal strength between transceivers at the meter and DAS. Procedures are outlined in the manufacturer’s installation and operation manual. The graphic shall depict green lines for communications between transceivers at the meter and DAS indicating good signal strength. Transceiver numbers shall be included in the screenshots. The intent of the screenshot is to verify that the</w:t>
      </w:r>
      <w:r>
        <w:rPr>
          <w:spacing w:val="-21"/>
          <w:sz w:val="22"/>
        </w:rPr>
        <w:t> </w:t>
      </w:r>
      <w:r>
        <w:rPr>
          <w:sz w:val="22"/>
        </w:rPr>
        <w:t>equipment</w:t>
      </w:r>
    </w:p>
    <w:p>
      <w:pPr>
        <w:spacing w:after="0" w:line="240" w:lineRule="auto"/>
        <w:jc w:val="left"/>
        <w:rPr>
          <w:sz w:val="22"/>
        </w:rPr>
        <w:sectPr>
          <w:pgSz w:w="12240" w:h="15840"/>
          <w:pgMar w:header="724" w:footer="1020" w:top="1220" w:bottom="1220" w:left="860" w:right="680"/>
        </w:sectPr>
      </w:pPr>
    </w:p>
    <w:p>
      <w:pPr>
        <w:pStyle w:val="BodyText"/>
        <w:spacing w:before="6"/>
        <w:rPr>
          <w:sz w:val="10"/>
        </w:rPr>
      </w:pPr>
    </w:p>
    <w:p>
      <w:pPr>
        <w:pStyle w:val="BodyText"/>
        <w:spacing w:before="94"/>
        <w:ind w:left="1300" w:right="1076"/>
      </w:pPr>
      <w:r>
        <w:rPr/>
        <w:t>is properly communicating information at acceptable quality signal strength from each meter to the DAS. See Appendix E.</w:t>
      </w:r>
    </w:p>
    <w:p>
      <w:pPr>
        <w:pStyle w:val="BodyText"/>
        <w:spacing w:before="3"/>
        <w:rPr>
          <w:sz w:val="25"/>
        </w:rPr>
      </w:pPr>
    </w:p>
    <w:p>
      <w:pPr>
        <w:pStyle w:val="ListParagraph"/>
        <w:numPr>
          <w:ilvl w:val="2"/>
          <w:numId w:val="18"/>
        </w:numPr>
        <w:tabs>
          <w:tab w:pos="1301" w:val="left" w:leader="none"/>
        </w:tabs>
        <w:spacing w:line="240" w:lineRule="auto" w:before="0" w:after="0"/>
        <w:ind w:left="1300" w:right="1009" w:hanging="360"/>
        <w:jc w:val="left"/>
        <w:rPr>
          <w:sz w:val="22"/>
        </w:rPr>
      </w:pPr>
      <w:r>
        <w:rPr>
          <w:sz w:val="22"/>
        </w:rPr>
        <w:t>The contractor shall provide a list of advanced metering equipment installed on Excel spreadsheet to include the information as required in 4.2.A and 4.2.B to allow for enrollment of new or modified equipment into the Coast Guard’s Computerized Maintenance Management System (CMMS). See </w:t>
      </w:r>
      <w:hyperlink w:history="true" w:anchor="_bookmark49">
        <w:r>
          <w:rPr>
            <w:sz w:val="22"/>
          </w:rPr>
          <w:t>Appendix F</w:t>
        </w:r>
      </w:hyperlink>
      <w:r>
        <w:rPr>
          <w:sz w:val="22"/>
        </w:rPr>
        <w:t> All information shall be provided to the Mission Support Product Line in order to ensure all advanced</w:t>
      </w:r>
      <w:r>
        <w:rPr>
          <w:spacing w:val="-22"/>
          <w:sz w:val="22"/>
        </w:rPr>
        <w:t> </w:t>
      </w:r>
      <w:r>
        <w:rPr>
          <w:sz w:val="22"/>
        </w:rPr>
        <w:t>metering equipment is accurately accounted for in the designated</w:t>
      </w:r>
      <w:r>
        <w:rPr>
          <w:spacing w:val="-9"/>
          <w:sz w:val="22"/>
        </w:rPr>
        <w:t> </w:t>
      </w:r>
      <w:r>
        <w:rPr>
          <w:sz w:val="22"/>
        </w:rPr>
        <w:t>CMMS.</w:t>
      </w:r>
    </w:p>
    <w:p>
      <w:pPr>
        <w:pStyle w:val="BodyText"/>
      </w:pPr>
    </w:p>
    <w:p>
      <w:pPr>
        <w:pStyle w:val="ListParagraph"/>
        <w:numPr>
          <w:ilvl w:val="2"/>
          <w:numId w:val="18"/>
        </w:numPr>
        <w:tabs>
          <w:tab w:pos="1301" w:val="left" w:leader="none"/>
        </w:tabs>
        <w:spacing w:line="240" w:lineRule="auto" w:before="1" w:after="0"/>
        <w:ind w:left="1300" w:right="912" w:hanging="360"/>
        <w:jc w:val="left"/>
        <w:rPr>
          <w:sz w:val="22"/>
        </w:rPr>
      </w:pPr>
      <w:r>
        <w:rPr>
          <w:sz w:val="22"/>
        </w:rPr>
        <w:t>The contractor shall provide Equipment User Manual for each equipment type</w:t>
      </w:r>
      <w:r>
        <w:rPr>
          <w:spacing w:val="-22"/>
          <w:sz w:val="22"/>
        </w:rPr>
        <w:t> </w:t>
      </w:r>
      <w:r>
        <w:rPr>
          <w:sz w:val="22"/>
        </w:rPr>
        <w:t>installed.</w:t>
      </w:r>
      <w:r>
        <w:rPr>
          <w:color w:val="0000FF"/>
          <w:sz w:val="22"/>
          <w:u w:val="single" w:color="0000FF"/>
        </w:rPr>
        <w:t> </w:t>
      </w:r>
      <w:hyperlink r:id="rId39">
        <w:r>
          <w:rPr>
            <w:color w:val="0000FF"/>
            <w:sz w:val="22"/>
            <w:u w:val="single" w:color="0000FF"/>
          </w:rPr>
          <w:t>http://www.obvius.com</w:t>
        </w:r>
      </w:hyperlink>
    </w:p>
    <w:p>
      <w:pPr>
        <w:pStyle w:val="BodyText"/>
        <w:spacing w:before="11"/>
        <w:rPr>
          <w:sz w:val="20"/>
        </w:rPr>
      </w:pPr>
    </w:p>
    <w:p>
      <w:pPr>
        <w:pStyle w:val="Heading2"/>
        <w:numPr>
          <w:ilvl w:val="1"/>
          <w:numId w:val="18"/>
        </w:numPr>
        <w:tabs>
          <w:tab w:pos="1156" w:val="left" w:leader="none"/>
          <w:tab w:pos="1157" w:val="left" w:leader="none"/>
        </w:tabs>
        <w:spacing w:line="240" w:lineRule="auto" w:before="0" w:after="0"/>
        <w:ind w:left="1156" w:right="0" w:hanging="576"/>
        <w:jc w:val="left"/>
      </w:pPr>
      <w:bookmarkStart w:name="_bookmark37" w:id="66"/>
      <w:bookmarkEnd w:id="66"/>
      <w:r>
        <w:rPr>
          <w:b w:val="0"/>
        </w:rPr>
      </w:r>
      <w:bookmarkStart w:name="_bookmark37" w:id="67"/>
      <w:bookmarkEnd w:id="67"/>
      <w:r>
        <w:rPr/>
        <w:t>M</w:t>
      </w:r>
      <w:r>
        <w:rPr/>
        <w:t>aintenance</w:t>
      </w:r>
    </w:p>
    <w:p>
      <w:pPr>
        <w:pStyle w:val="BodyText"/>
        <w:spacing w:line="276" w:lineRule="auto" w:before="118"/>
        <w:ind w:left="580" w:right="757"/>
      </w:pPr>
      <w:r>
        <w:rPr/>
        <w:t>The maintenance procedures below are taken from the US Department of Energy Metering Best Practices: A Guide to Achieving Utility Resource Efficiency, 2015.</w:t>
      </w:r>
    </w:p>
    <w:p>
      <w:pPr>
        <w:pStyle w:val="BodyText"/>
        <w:rPr>
          <w:sz w:val="21"/>
        </w:rPr>
      </w:pPr>
    </w:p>
    <w:p>
      <w:pPr>
        <w:pStyle w:val="Heading4"/>
        <w:numPr>
          <w:ilvl w:val="3"/>
          <w:numId w:val="19"/>
        </w:numPr>
        <w:tabs>
          <w:tab w:pos="1445" w:val="left" w:leader="none"/>
        </w:tabs>
        <w:spacing w:line="240" w:lineRule="auto" w:before="0" w:after="0"/>
        <w:ind w:left="1444" w:right="0" w:hanging="864"/>
        <w:jc w:val="left"/>
        <w:rPr>
          <w:i/>
        </w:rPr>
      </w:pPr>
      <w:r>
        <w:rPr>
          <w:i/>
        </w:rPr>
        <w:t>Electrical</w:t>
      </w:r>
      <w:r>
        <w:rPr>
          <w:i/>
          <w:spacing w:val="-2"/>
        </w:rPr>
        <w:t> </w:t>
      </w:r>
      <w:r>
        <w:rPr>
          <w:i/>
        </w:rPr>
        <w:t>Maintenance</w:t>
      </w:r>
    </w:p>
    <w:p>
      <w:pPr>
        <w:pStyle w:val="BodyText"/>
        <w:spacing w:line="276" w:lineRule="auto" w:before="119"/>
        <w:ind w:left="580" w:right="1380"/>
      </w:pPr>
      <w:r>
        <w:rPr/>
        <w:t>Monthly inspections are required and shall check the integrity of electrical connections in accordance with NFPA 70 and NEC and manufacturer guidance. Annual inspections shall include calibration according to manufacturer’s direction.</w:t>
      </w:r>
    </w:p>
    <w:p>
      <w:pPr>
        <w:pStyle w:val="BodyText"/>
        <w:spacing w:line="276" w:lineRule="auto" w:before="121"/>
        <w:ind w:left="580" w:right="928"/>
      </w:pPr>
      <w:r>
        <w:rPr/>
        <w:t>Per the CG-43 </w:t>
      </w:r>
      <w:r>
        <w:rPr>
          <w:i/>
        </w:rPr>
        <w:t>Shore Facilities Utilities Metering Guidance Memorandum, dated 06 Nov 2014, </w:t>
      </w:r>
      <w:r>
        <w:rPr/>
        <w:t>electrical meters are considered electronics equipment. Proper tracking and accounting of the acquisition, use, and disposal of Coast Guard electronics equipment is required to comply with the Electronics Manual, COMDTINST M10550.25 (series), and Department of Homeland Security and Coast Guard property management policies.</w:t>
      </w:r>
    </w:p>
    <w:p>
      <w:pPr>
        <w:pStyle w:val="BodyText"/>
        <w:spacing w:before="10"/>
        <w:rPr>
          <w:sz w:val="20"/>
        </w:rPr>
      </w:pPr>
    </w:p>
    <w:p>
      <w:pPr>
        <w:pStyle w:val="Heading4"/>
        <w:numPr>
          <w:ilvl w:val="3"/>
          <w:numId w:val="19"/>
        </w:numPr>
        <w:tabs>
          <w:tab w:pos="1445" w:val="left" w:leader="none"/>
        </w:tabs>
        <w:spacing w:line="240" w:lineRule="auto" w:before="0" w:after="0"/>
        <w:ind w:left="1444" w:right="0" w:hanging="864"/>
        <w:jc w:val="left"/>
        <w:rPr>
          <w:i/>
        </w:rPr>
      </w:pPr>
      <w:r>
        <w:rPr>
          <w:i/>
        </w:rPr>
        <w:t>Gas Meter</w:t>
      </w:r>
      <w:r>
        <w:rPr>
          <w:i/>
          <w:spacing w:val="-4"/>
        </w:rPr>
        <w:t> </w:t>
      </w:r>
      <w:r>
        <w:rPr>
          <w:i/>
        </w:rPr>
        <w:t>Maintenance</w:t>
      </w:r>
    </w:p>
    <w:p>
      <w:pPr>
        <w:pStyle w:val="BodyText"/>
        <w:spacing w:line="276" w:lineRule="auto" w:before="119"/>
        <w:ind w:left="580" w:right="769"/>
      </w:pPr>
      <w:r>
        <w:rPr/>
        <w:t>Monthly inspections are required and shall check for the following: gas leaks, noisy operations within the meter, and cleanliness of the equipment. Positive Displacement Meters monthly inspections should look for consistent and smooth register operation. For Differential Pressure Meters monthly inspections check for properly connected and sealed pressure taps. Additionally there shall be an annual inspection which shall include calibration of the meter according to manufacturer's recommendation. Any orifice diameter and edges shall be checked for wear, roughness, or material buildup, all internal surfaces shall be checked to be clean and smooth, and there shall be a check for well-connected and sealed pressure taps. For Velocity Meters, annual inspections shall include a check of the impeller blades and bearings for wear or damage.</w:t>
      </w:r>
    </w:p>
    <w:p>
      <w:pPr>
        <w:pStyle w:val="BodyText"/>
        <w:spacing w:before="10"/>
        <w:rPr>
          <w:sz w:val="20"/>
        </w:rPr>
      </w:pPr>
    </w:p>
    <w:p>
      <w:pPr>
        <w:pStyle w:val="Heading4"/>
        <w:numPr>
          <w:ilvl w:val="3"/>
          <w:numId w:val="19"/>
        </w:numPr>
        <w:tabs>
          <w:tab w:pos="1445" w:val="left" w:leader="none"/>
        </w:tabs>
        <w:spacing w:line="240" w:lineRule="auto" w:before="0" w:after="0"/>
        <w:ind w:left="1444" w:right="0" w:hanging="864"/>
        <w:jc w:val="left"/>
        <w:rPr>
          <w:i/>
        </w:rPr>
      </w:pPr>
      <w:r>
        <w:rPr>
          <w:i/>
        </w:rPr>
        <w:t>Water Meter</w:t>
      </w:r>
      <w:r>
        <w:rPr>
          <w:i/>
          <w:spacing w:val="-5"/>
        </w:rPr>
        <w:t> </w:t>
      </w:r>
      <w:r>
        <w:rPr>
          <w:i/>
        </w:rPr>
        <w:t>Maintenance</w:t>
      </w:r>
    </w:p>
    <w:p>
      <w:pPr>
        <w:pStyle w:val="BodyText"/>
        <w:spacing w:line="276" w:lineRule="auto" w:before="122"/>
        <w:ind w:left="580" w:right="928"/>
      </w:pPr>
      <w:r>
        <w:rPr/>
        <w:t>Monthly inspections are required and shall include an examination of connections for water leakage, unusually loud operations internal to the meter shall be noted, filters or strainers checked for blockage, and general meter cleanliness. Ultrasonic meters shall include checking the transducer positions and attachment to piping, looking at the cleanliness of transducer/piping interface, inspecting the integrity of the sonic coupling fluid between the</w:t>
      </w:r>
    </w:p>
    <w:p>
      <w:pPr>
        <w:spacing w:after="0" w:line="276" w:lineRule="auto"/>
        <w:sectPr>
          <w:pgSz w:w="12240" w:h="15840"/>
          <w:pgMar w:header="724" w:footer="1020" w:top="1220" w:bottom="1220" w:left="860" w:right="680"/>
        </w:sectPr>
      </w:pPr>
    </w:p>
    <w:p>
      <w:pPr>
        <w:pStyle w:val="BodyText"/>
        <w:spacing w:before="6"/>
        <w:rPr>
          <w:sz w:val="10"/>
        </w:rPr>
      </w:pPr>
    </w:p>
    <w:p>
      <w:pPr>
        <w:pStyle w:val="BodyText"/>
        <w:spacing w:line="276" w:lineRule="auto" w:before="94"/>
        <w:ind w:left="580" w:right="855"/>
      </w:pPr>
      <w:r>
        <w:rPr/>
        <w:t>transducer and the piping, and verifying piping isolation (i.e., no vibration). Positive displacement meters should be checked for consistent and smooth register operation. Differential pressure meters shall be checked for properly connected and sealed pressure taps. Annual inspections shall include calibration according to manufacturer’s direction. Velocity meters shall include an inspection of the impeller blades and bearings for wear or damage.</w:t>
      </w:r>
    </w:p>
    <w:p>
      <w:pPr>
        <w:pStyle w:val="BodyText"/>
        <w:spacing w:line="276" w:lineRule="auto"/>
        <w:ind w:left="580" w:right="1124"/>
      </w:pPr>
      <w:r>
        <w:rPr/>
        <w:t>Differential pressure meters shall include a check of the orifice diameter and edges for wear, roughness, or material buildup, and a check of the venturi for cleanliness and corrosion at throat.</w:t>
      </w:r>
    </w:p>
    <w:p>
      <w:pPr>
        <w:spacing w:after="0" w:line="276" w:lineRule="auto"/>
        <w:sectPr>
          <w:pgSz w:w="12240" w:h="15840"/>
          <w:pgMar w:header="724" w:footer="1020" w:top="1220" w:bottom="1220" w:left="860" w:right="680"/>
        </w:sectPr>
      </w:pPr>
    </w:p>
    <w:p>
      <w:pPr>
        <w:pStyle w:val="BodyText"/>
        <w:spacing w:before="10"/>
        <w:rPr>
          <w:sz w:val="18"/>
        </w:rPr>
      </w:pP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Heading1"/>
        <w:numPr>
          <w:ilvl w:val="0"/>
          <w:numId w:val="18"/>
        </w:numPr>
        <w:tabs>
          <w:tab w:pos="1012" w:val="left" w:leader="none"/>
          <w:tab w:pos="1013" w:val="left" w:leader="none"/>
        </w:tabs>
        <w:spacing w:line="240" w:lineRule="auto" w:before="8" w:after="22"/>
        <w:ind w:left="1012" w:right="0" w:hanging="432"/>
        <w:jc w:val="left"/>
      </w:pPr>
      <w:bookmarkStart w:name="_bookmark38" w:id="68"/>
      <w:bookmarkEnd w:id="68"/>
      <w:r>
        <w:rPr>
          <w:b w:val="0"/>
        </w:rPr>
      </w:r>
      <w:bookmarkStart w:name="_bookmark38" w:id="69"/>
      <w:bookmarkEnd w:id="69"/>
      <w:r>
        <w:rPr/>
        <w:t>R</w:t>
      </w:r>
      <w:r>
        <w:rPr/>
        <w:t>EFERENCES</w:t>
      </w: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Heading2"/>
        <w:numPr>
          <w:ilvl w:val="1"/>
          <w:numId w:val="20"/>
        </w:numPr>
        <w:tabs>
          <w:tab w:pos="1156" w:val="left" w:leader="none"/>
          <w:tab w:pos="1157" w:val="left" w:leader="none"/>
        </w:tabs>
        <w:spacing w:line="240" w:lineRule="auto" w:before="228" w:after="0"/>
        <w:ind w:left="1156" w:right="0" w:hanging="576"/>
        <w:jc w:val="left"/>
      </w:pPr>
      <w:bookmarkStart w:name="_bookmark39" w:id="70"/>
      <w:bookmarkEnd w:id="70"/>
      <w:r>
        <w:rPr>
          <w:b w:val="0"/>
        </w:rPr>
      </w:r>
      <w:bookmarkStart w:name="_bookmark39" w:id="71"/>
      <w:bookmarkEnd w:id="71"/>
      <w:r>
        <w:rPr/>
        <w:t>Proce</w:t>
      </w:r>
      <w:r>
        <w:rPr/>
        <w:t>ss</w:t>
      </w:r>
      <w:r>
        <w:rPr>
          <w:spacing w:val="-2"/>
        </w:rPr>
        <w:t> </w:t>
      </w:r>
      <w:r>
        <w:rPr/>
        <w:t>Relationships</w:t>
      </w:r>
    </w:p>
    <w:p>
      <w:pPr>
        <w:pStyle w:val="BodyText"/>
        <w:spacing w:line="276" w:lineRule="auto" w:before="120"/>
        <w:ind w:left="580" w:right="915"/>
      </w:pPr>
      <w:r>
        <w:rPr/>
        <w:pict>
          <v:group style="position:absolute;margin-left:75.75pt;margin-top:73.129868pt;width:454.45pt;height:205.15pt;mso-position-horizontal-relative:page;mso-position-vertical-relative:paragraph;z-index:2296" coordorigin="1515,1463" coordsize="9089,4103">
            <v:rect style="position:absolute;left:4119;top:1462;width:4222;height:4101" filled="true" fillcolor="#d9d9d9" stroked="false">
              <v:fill type="solid"/>
            </v:rect>
            <v:shape style="position:absolute;left:5254;top:3686;width:429;height:86" coordorigin="5255,3687" coordsize="429,86" path="m5383,3687l5255,3729,5383,3772,5383,3740,5361,3740,5361,3719,5383,3719,5383,3687xm5383,3719l5361,3719,5361,3740,5383,3740,5383,3719xm5425,3719l5383,3719,5383,3740,5425,3740,5425,3719xm5510,3719l5447,3719,5447,3740,5510,3740,5510,3719xm5555,3687l5555,3772,5651,3740,5577,3740,5577,3719,5651,3719,5555,3687xm5555,3719l5532,3719,5532,3740,5555,3740,5555,3719xm5651,3719l5577,3719,5577,3740,5651,3740,5683,3729,5651,3719xe" filled="true" fillcolor="#d3612a" stroked="false">
              <v:path arrowok="t"/>
              <v:fill type="solid"/>
            </v:shape>
            <v:shape style="position:absolute;left:6829;top:3692;width:383;height:91" coordorigin="6829,3692" coordsize="383,91" path="m7086,3698l7085,3730,7106,3730,7105,3752,7084,3752,7083,3783,7191,3752,7105,3752,7084,3751,7194,3751,7212,3746,7086,3698xm7085,3730l7084,3751,7105,3752,7106,3730,7085,3730xm7042,3728l7041,3749,7084,3751,7085,3730,7042,3728xm6959,3692l6829,3729,6955,3778,6957,3746,6956,3746,6957,3724,6957,3724,6959,3692xm6957,3724l6957,3746,7020,3748,7021,3727,6957,3724xm6957,3724l6956,3746,6957,3746,6957,3724,6957,3724xe" filled="true" fillcolor="#d3612a" stroked="false">
              <v:path arrowok="t"/>
              <v:fill type="solid"/>
            </v:shape>
            <v:rect style="position:absolute;left:1582;top:1789;width:269;height:1308" filled="true" fillcolor="#2c4289" stroked="false">
              <v:fill type="solid"/>
            </v:rect>
            <v:rect style="position:absolute;left:1582;top:1789;width:269;height:1308" filled="false" stroked="true" strokeweight=".266379pt" strokecolor="#d9d9d9">
              <v:stroke dashstyle="solid"/>
            </v:rect>
            <v:rect style="position:absolute;left:1582;top:4371;width:269;height:1192" filled="true" fillcolor="#2c8037" stroked="false">
              <v:fill type="solid"/>
            </v:rect>
            <v:rect style="position:absolute;left:1582;top:4371;width:269;height:1192" filled="false" stroked="true" strokeweight=".266384pt" strokecolor="#d9d9d9">
              <v:stroke dashstyle="solid"/>
            </v:rect>
            <v:rect style="position:absolute;left:1582;top:3112;width:269;height:1244" filled="true" fillcolor="#9f491f" stroked="false">
              <v:fill type="solid"/>
            </v:rect>
            <v:rect style="position:absolute;left:1582;top:3112;width:269;height:1244" filled="false" stroked="true" strokeweight=".266382pt" strokecolor="#d9d9d9">
              <v:stroke dashstyle="solid"/>
            </v:rect>
            <v:shape style="position:absolute;left:1954;top:1462;width:8553;height:4101" coordorigin="1955,1463" coordsize="8553,4101" path="m4023,1463l1955,1463,1955,5563,4023,5563,4023,1463m10507,1463l8436,1463,8436,5563,10507,5563,10507,1463e" filled="true" fillcolor="#d9d9d9" stroked="false">
              <v:path arrowok="t"/>
              <v:fill type="solid"/>
            </v:shape>
            <v:shape style="position:absolute;left:0;top:9885;width:8531;height:2418" coordorigin="0,9886" coordsize="8531,2418" path="m1515,1790l10603,1790m1515,3113l10603,3113m1515,4371l10603,4371e" filled="false" stroked="true" strokeweight="3.200349pt" strokecolor="#ffffff">
              <v:path arrowok="t"/>
              <v:stroke dashstyle="solid"/>
            </v:shape>
            <v:shape style="position:absolute;left:5248;top:2328;width:1051;height:1163" coordorigin="5249,2329" coordsize="1051,1163" path="m6256,3491l6217,3439,6176,3383,6158,3409,5261,2779,5249,2796,6145,3427,6127,3453,6256,3491m6299,3363l6267,3363,6267,2329,6246,2329,6246,3363,6214,3363,6256,3491,6292,3385,6299,3363e" filled="true" fillcolor="#00338d" stroked="false">
              <v:path arrowok="t"/>
              <v:fill type="solid"/>
            </v:shape>
            <v:shape style="position:absolute;left:5491;top:3960;width:774;height:897" coordorigin="5491,3961" coordsize="774,897" path="m5542,4732l5491,4857,5607,4788,5602,4783,5569,4783,5553,4769,5567,4753,5542,4732xm5567,4753l5553,4769,5569,4783,5583,4767,5567,4753xm5583,4767l5569,4783,5602,4783,5583,4767xm6248,3961l5567,4753,5583,4767,6264,3975,6248,3961xe" filled="true" fillcolor="#1d5524" stroked="false">
              <v:path arrowok="t"/>
              <v:fill type="solid"/>
            </v:shape>
            <v:shape style="position:absolute;left:6256;top:2778;width:1138;height:713" coordorigin="6256,2779" coordsize="1138,713" path="m6342,3387l6256,3491,6387,3460,6378,3444,6352,3444,6341,3426,6359,3415,6342,3387xm6359,3415l6341,3426,6352,3444,6371,3433,6359,3415xm6371,3433l6352,3444,6378,3444,6371,3433xm7382,2779l6359,3415,6371,3433,7393,2797,7382,2779xe" filled="true" fillcolor="#00338d" stroked="false">
              <v:path arrowok="t"/>
              <v:fill type="solid"/>
            </v:shape>
            <v:shape style="position:absolute;left:6248;top:3960;width:859;height:906" coordorigin="6249,3960" coordsize="859,906" path="m7012,4780l6988,4802,7107,4866,7075,4796,7026,4796,7012,4780xm7027,4766l7012,4780,7026,4796,7042,4781,7027,4766xm7050,4743l7027,4766,7042,4781,7026,4796,7075,4796,7050,4743xm6264,3960l6249,3975,7012,4780,7027,4766,6264,3960xe" filled="true" fillcolor="#1d5524" stroked="false">
              <v:path arrowok="t"/>
              <v:fill type="solid"/>
            </v:shape>
            <v:shape style="position:absolute;left:2116;top:1504;width:1764;height:192" type="#_x0000_t202" filled="false" stroked="false">
              <v:textbox inset="0,0,0,0">
                <w:txbxContent>
                  <w:p>
                    <w:pPr>
                      <w:spacing w:line="192" w:lineRule="exact" w:before="0"/>
                      <w:ind w:left="0" w:right="0" w:firstLine="0"/>
                      <w:jc w:val="left"/>
                      <w:rPr>
                        <w:b/>
                        <w:sz w:val="17"/>
                      </w:rPr>
                    </w:pPr>
                    <w:r>
                      <w:rPr>
                        <w:b/>
                        <w:sz w:val="17"/>
                      </w:rPr>
                      <w:t>Process Relationship</w:t>
                    </w:r>
                  </w:p>
                </w:txbxContent>
              </v:textbox>
              <w10:wrap type="none"/>
            </v:shape>
            <v:shape style="position:absolute;left:5189;top:1504;width:2100;height:192" type="#_x0000_t202" filled="false" stroked="false">
              <v:textbox inset="0,0,0,0">
                <w:txbxContent>
                  <w:p>
                    <w:pPr>
                      <w:spacing w:line="192" w:lineRule="exact" w:before="0"/>
                      <w:ind w:left="0" w:right="0" w:firstLine="0"/>
                      <w:jc w:val="left"/>
                      <w:rPr>
                        <w:b/>
                        <w:sz w:val="17"/>
                      </w:rPr>
                    </w:pPr>
                    <w:r>
                      <w:rPr>
                        <w:b/>
                        <w:sz w:val="17"/>
                      </w:rPr>
                      <w:t>Graphical Representation</w:t>
                    </w:r>
                  </w:p>
                </w:txbxContent>
              </v:textbox>
              <w10:wrap type="none"/>
            </v:shape>
            <v:shape style="position:absolute;left:8591;top:1504;width:1645;height:1212" type="#_x0000_t202" filled="false" stroked="false">
              <v:textbox inset="0,0,0,0">
                <w:txbxContent>
                  <w:p>
                    <w:pPr>
                      <w:spacing w:line="192" w:lineRule="exact" w:before="0"/>
                      <w:ind w:left="140" w:right="0" w:firstLine="0"/>
                      <w:jc w:val="left"/>
                      <w:rPr>
                        <w:b/>
                        <w:sz w:val="17"/>
                      </w:rPr>
                    </w:pPr>
                    <w:r>
                      <w:rPr>
                        <w:b/>
                        <w:sz w:val="17"/>
                      </w:rPr>
                      <w:t>Revision Potential</w:t>
                    </w:r>
                  </w:p>
                  <w:p>
                    <w:pPr>
                      <w:spacing w:line="240" w:lineRule="auto" w:before="1"/>
                      <w:rPr>
                        <w:b/>
                        <w:sz w:val="18"/>
                      </w:rPr>
                    </w:pPr>
                  </w:p>
                  <w:p>
                    <w:pPr>
                      <w:spacing w:line="252" w:lineRule="auto" w:before="0"/>
                      <w:ind w:left="0" w:right="28" w:firstLine="0"/>
                      <w:jc w:val="left"/>
                      <w:rPr>
                        <w:sz w:val="17"/>
                      </w:rPr>
                    </w:pPr>
                    <w:r>
                      <w:rPr>
                        <w:sz w:val="17"/>
                      </w:rPr>
                      <w:t>If requirements in the parent documents change, this TO may need to be changed</w:t>
                    </w:r>
                  </w:p>
                </w:txbxContent>
              </v:textbox>
              <w10:wrap type="none"/>
            </v:shape>
            <v:shape style="position:absolute;left:8591;top:3249;width:1630;height:1013" type="#_x0000_t202" filled="false" stroked="false">
              <v:textbox inset="0,0,0,0">
                <w:txbxContent>
                  <w:p>
                    <w:pPr>
                      <w:spacing w:line="252" w:lineRule="auto" w:before="0"/>
                      <w:ind w:left="0" w:right="13" w:firstLine="0"/>
                      <w:jc w:val="left"/>
                      <w:rPr>
                        <w:sz w:val="17"/>
                      </w:rPr>
                    </w:pPr>
                    <w:r>
                      <w:rPr>
                        <w:sz w:val="17"/>
                      </w:rPr>
                      <w:t>If requirements in the sibling documents change, this TO may need to be changed, and vice versa</w:t>
                    </w:r>
                  </w:p>
                </w:txbxContent>
              </v:textbox>
              <w10:wrap type="none"/>
            </v:shape>
            <v:shape style="position:absolute;left:2108;top:4508;width:1805;height:603" type="#_x0000_t202" filled="false" stroked="false">
              <v:textbox inset="0,0,0,0">
                <w:txbxContent>
                  <w:p>
                    <w:pPr>
                      <w:spacing w:line="252" w:lineRule="auto" w:before="0"/>
                      <w:ind w:left="0" w:right="17" w:firstLine="0"/>
                      <w:jc w:val="left"/>
                      <w:rPr>
                        <w:sz w:val="17"/>
                      </w:rPr>
                    </w:pPr>
                    <w:r>
                      <w:rPr>
                        <w:sz w:val="17"/>
                      </w:rPr>
                      <w:t>Process outputs and subordinate documents generated by this TO</w:t>
                    </w:r>
                  </w:p>
                </w:txbxContent>
              </v:textbox>
              <w10:wrap type="none"/>
            </v:shape>
            <v:shape style="position:absolute;left:4897;top:4901;width:1208;height:192" type="#_x0000_t202" filled="false" stroked="false">
              <v:textbox inset="0,0,0,0">
                <w:txbxContent>
                  <w:p>
                    <w:pPr>
                      <w:tabs>
                        <w:tab w:pos="400" w:val="left" w:leader="none"/>
                        <w:tab w:pos="1187" w:val="left" w:leader="none"/>
                      </w:tabs>
                      <w:spacing w:line="192" w:lineRule="exact" w:before="0"/>
                      <w:ind w:left="0" w:right="0" w:firstLine="0"/>
                      <w:jc w:val="left"/>
                      <w:rPr>
                        <w:sz w:val="17"/>
                      </w:rPr>
                    </w:pPr>
                    <w:r>
                      <w:rPr>
                        <w:color w:val="FFFFFF"/>
                        <w:w w:val="100"/>
                        <w:sz w:val="17"/>
                        <w:shd w:fill="2C8037" w:color="auto" w:val="clear"/>
                      </w:rPr>
                      <w:t> </w:t>
                    </w:r>
                    <w:r>
                      <w:rPr>
                        <w:color w:val="FFFFFF"/>
                        <w:sz w:val="17"/>
                        <w:shd w:fill="2C8037" w:color="auto" w:val="clear"/>
                      </w:rPr>
                      <w:tab/>
                      <w:t>Child</w:t>
                      <w:tab/>
                    </w:r>
                  </w:p>
                </w:txbxContent>
              </v:textbox>
              <w10:wrap type="none"/>
            </v:shape>
            <v:shape style="position:absolute;left:6485;top:4910;width:1265;height:193" type="#_x0000_t202" filled="false" stroked="false">
              <v:textbox inset="0,0,0,0">
                <w:txbxContent>
                  <w:p>
                    <w:pPr>
                      <w:tabs>
                        <w:tab w:pos="428" w:val="left" w:leader="none"/>
                        <w:tab w:pos="1244" w:val="left" w:leader="none"/>
                      </w:tabs>
                      <w:spacing w:line="192" w:lineRule="exact" w:before="0"/>
                      <w:ind w:left="0" w:right="0" w:firstLine="0"/>
                      <w:jc w:val="left"/>
                      <w:rPr>
                        <w:sz w:val="17"/>
                      </w:rPr>
                    </w:pPr>
                    <w:r>
                      <w:rPr>
                        <w:color w:val="FFFFFF"/>
                        <w:w w:val="101"/>
                        <w:sz w:val="17"/>
                        <w:shd w:fill="2C8037" w:color="auto" w:val="clear"/>
                      </w:rPr>
                      <w:t> </w:t>
                    </w:r>
                    <w:r>
                      <w:rPr>
                        <w:color w:val="FFFFFF"/>
                        <w:sz w:val="17"/>
                        <w:shd w:fill="2C8037" w:color="auto" w:val="clear"/>
                      </w:rPr>
                      <w:tab/>
                      <w:t>Child</w:t>
                      <w:tab/>
                    </w:r>
                  </w:p>
                </w:txbxContent>
              </v:textbox>
              <w10:wrap type="none"/>
            </v:shape>
            <v:shape style="position:absolute;left:8591;top:4491;width:1658;height:808" type="#_x0000_t202" filled="false" stroked="false">
              <v:textbox inset="0,0,0,0">
                <w:txbxContent>
                  <w:p>
                    <w:pPr>
                      <w:spacing w:line="252" w:lineRule="auto" w:before="0"/>
                      <w:ind w:left="0" w:right="12" w:firstLine="0"/>
                      <w:jc w:val="left"/>
                      <w:rPr>
                        <w:sz w:val="17"/>
                      </w:rPr>
                    </w:pPr>
                    <w:r>
                      <w:rPr>
                        <w:sz w:val="17"/>
                      </w:rPr>
                      <w:t>If requirements in this TO change, child documents may need to be changed</w:t>
                    </w:r>
                  </w:p>
                </w:txbxContent>
              </v:textbox>
              <w10:wrap type="none"/>
            </v:shape>
            <v:shape style="position:absolute;left:1853;top:3145;width:2171;height:1194" type="#_x0000_t202" filled="false" stroked="false">
              <v:textbox inset="0,0,0,0">
                <w:txbxContent>
                  <w:p>
                    <w:pPr>
                      <w:spacing w:line="252" w:lineRule="auto" w:before="82"/>
                      <w:ind w:left="255" w:right="90" w:firstLine="0"/>
                      <w:jc w:val="left"/>
                      <w:rPr>
                        <w:sz w:val="17"/>
                      </w:rPr>
                    </w:pPr>
                    <w:r>
                      <w:rPr>
                        <w:sz w:val="17"/>
                      </w:rPr>
                      <w:t>Documents that interact with this TO, but are not in a superior or subordinate relationship</w:t>
                    </w:r>
                  </w:p>
                </w:txbxContent>
              </v:textbox>
              <w10:wrap type="none"/>
            </v:shape>
            <v:shape style="position:absolute;left:4119;top:1821;width:4222;height:1260" type="#_x0000_t202" filled="false" stroked="false">
              <v:textbox inset="0,0,0,0">
                <w:txbxContent>
                  <w:p>
                    <w:pPr>
                      <w:spacing w:line="240" w:lineRule="auto" w:before="1"/>
                      <w:rPr>
                        <w:b/>
                        <w:sz w:val="24"/>
                      </w:rPr>
                    </w:pPr>
                  </w:p>
                  <w:p>
                    <w:pPr>
                      <w:tabs>
                        <w:tab w:pos="373" w:val="left" w:leader="none"/>
                        <w:tab w:pos="1198" w:val="left" w:leader="none"/>
                      </w:tabs>
                      <w:spacing w:before="0"/>
                      <w:ind w:left="52" w:right="0" w:firstLine="0"/>
                      <w:jc w:val="center"/>
                      <w:rPr>
                        <w:sz w:val="17"/>
                      </w:rPr>
                    </w:pPr>
                    <w:r>
                      <w:rPr>
                        <w:color w:val="FFFFFF"/>
                        <w:w w:val="100"/>
                        <w:sz w:val="17"/>
                        <w:shd w:fill="2C4289" w:color="auto" w:val="clear"/>
                      </w:rPr>
                      <w:t> </w:t>
                    </w:r>
                    <w:r>
                      <w:rPr>
                        <w:color w:val="FFFFFF"/>
                        <w:sz w:val="17"/>
                        <w:shd w:fill="2C4289" w:color="auto" w:val="clear"/>
                      </w:rPr>
                      <w:tab/>
                      <w:t>Parent</w:t>
                      <w:tab/>
                    </w:r>
                  </w:p>
                  <w:p>
                    <w:pPr>
                      <w:spacing w:line="240" w:lineRule="auto" w:before="11"/>
                      <w:rPr>
                        <w:b/>
                        <w:sz w:val="22"/>
                      </w:rPr>
                    </w:pPr>
                  </w:p>
                  <w:p>
                    <w:pPr>
                      <w:tabs>
                        <w:tab w:pos="526" w:val="left" w:leader="none"/>
                        <w:tab w:pos="1398" w:val="left" w:leader="none"/>
                        <w:tab w:pos="2315" w:val="left" w:leader="none"/>
                        <w:tab w:pos="2660" w:val="left" w:leader="none"/>
                        <w:tab w:pos="3506" w:val="left" w:leader="none"/>
                      </w:tabs>
                      <w:spacing w:before="0"/>
                      <w:ind w:left="156" w:right="0" w:firstLine="0"/>
                      <w:jc w:val="center"/>
                      <w:rPr>
                        <w:sz w:val="17"/>
                      </w:rPr>
                    </w:pPr>
                    <w:r>
                      <w:rPr>
                        <w:color w:val="FFFFFF"/>
                        <w:w w:val="100"/>
                        <w:sz w:val="17"/>
                        <w:shd w:fill="2C4289" w:color="auto" w:val="clear"/>
                      </w:rPr>
                      <w:t> </w:t>
                    </w:r>
                    <w:r>
                      <w:rPr>
                        <w:color w:val="FFFFFF"/>
                        <w:sz w:val="17"/>
                        <w:shd w:fill="2C4289" w:color="auto" w:val="clear"/>
                      </w:rPr>
                      <w:tab/>
                      <w:t>Parent</w:t>
                      <w:tab/>
                    </w:r>
                    <w:r>
                      <w:rPr>
                        <w:color w:val="FFFFFF"/>
                        <w:sz w:val="17"/>
                      </w:rPr>
                      <w:tab/>
                    </w:r>
                    <w:r>
                      <w:rPr>
                        <w:color w:val="FFFFFF"/>
                        <w:sz w:val="17"/>
                        <w:shd w:fill="2C4289" w:color="auto" w:val="clear"/>
                      </w:rPr>
                      <w:tab/>
                      <w:t>Parent</w:t>
                      <w:tab/>
                    </w:r>
                  </w:p>
                </w:txbxContent>
              </v:textbox>
              <w10:wrap type="none"/>
            </v:shape>
            <v:shape style="position:absolute;left:1853;top:1821;width:2171;height:1260" type="#_x0000_t202" filled="false" stroked="false">
              <v:textbox inset="0,0,0,0">
                <w:txbxContent>
                  <w:p>
                    <w:pPr>
                      <w:spacing w:line="252" w:lineRule="auto" w:before="88"/>
                      <w:ind w:left="255" w:right="128" w:firstLine="0"/>
                      <w:jc w:val="left"/>
                      <w:rPr>
                        <w:sz w:val="17"/>
                      </w:rPr>
                    </w:pPr>
                    <w:r>
                      <w:rPr>
                        <w:sz w:val="17"/>
                      </w:rPr>
                      <w:t>Superior directives, business processes, and regulatory documents that provide authority or guidance</w:t>
                    </w:r>
                  </w:p>
                </w:txbxContent>
              </v:textbox>
              <w10:wrap type="none"/>
            </v:shape>
            <v:shape style="position:absolute;left:7212;top:3611;width:1035;height:270" type="#_x0000_t202" filled="true" fillcolor="#9f491f" stroked="false">
              <v:textbox inset="0,0,0,0">
                <w:txbxContent>
                  <w:p>
                    <w:pPr>
                      <w:spacing w:before="40"/>
                      <w:ind w:left="260" w:right="0" w:firstLine="0"/>
                      <w:jc w:val="left"/>
                      <w:rPr>
                        <w:sz w:val="17"/>
                      </w:rPr>
                    </w:pPr>
                    <w:r>
                      <w:rPr>
                        <w:color w:val="FFFFFF"/>
                        <w:sz w:val="17"/>
                      </w:rPr>
                      <w:t>Sibling</w:t>
                    </w:r>
                  </w:p>
                </w:txbxContent>
              </v:textbox>
              <v:fill type="solid"/>
              <w10:wrap type="none"/>
            </v:shape>
            <v:shape style="position:absolute;left:4221;top:3594;width:1033;height:270" type="#_x0000_t202" filled="true" fillcolor="#9f491f" stroked="false">
              <v:textbox inset="0,0,0,0">
                <w:txbxContent>
                  <w:p>
                    <w:pPr>
                      <w:spacing w:before="40"/>
                      <w:ind w:left="260" w:right="0" w:firstLine="0"/>
                      <w:jc w:val="left"/>
                      <w:rPr>
                        <w:sz w:val="17"/>
                      </w:rPr>
                    </w:pPr>
                    <w:r>
                      <w:rPr>
                        <w:color w:val="FFFFFF"/>
                        <w:sz w:val="17"/>
                      </w:rPr>
                      <w:t>Sibling</w:t>
                    </w:r>
                  </w:p>
                </w:txbxContent>
              </v:textbox>
              <v:fill type="solid"/>
              <w10:wrap type="none"/>
            </v:shape>
            <v:shape style="position:absolute;left:5683;top:3491;width:1146;height:477" type="#_x0000_t202" filled="true" fillcolor="#ffffff" stroked="true" strokeweight=".800818pt" strokecolor="#283e88">
              <v:textbox inset="0,0,0,0">
                <w:txbxContent>
                  <w:p>
                    <w:pPr>
                      <w:spacing w:before="33"/>
                      <w:ind w:left="60" w:right="61" w:firstLine="0"/>
                      <w:jc w:val="center"/>
                      <w:rPr>
                        <w:sz w:val="17"/>
                      </w:rPr>
                    </w:pPr>
                    <w:r>
                      <w:rPr>
                        <w:sz w:val="17"/>
                      </w:rPr>
                      <w:t>THIS</w:t>
                    </w:r>
                  </w:p>
                  <w:p>
                    <w:pPr>
                      <w:spacing w:before="10"/>
                      <w:ind w:left="61" w:right="61" w:firstLine="0"/>
                      <w:jc w:val="center"/>
                      <w:rPr>
                        <w:sz w:val="17"/>
                      </w:rPr>
                    </w:pPr>
                    <w:r>
                      <w:rPr>
                        <w:sz w:val="17"/>
                      </w:rPr>
                      <w:t>DOCUMENT</w:t>
                    </w:r>
                  </w:p>
                </w:txbxContent>
              </v:textbox>
              <v:fill type="solid"/>
              <v:stroke dashstyle="solid"/>
              <w10:wrap type="none"/>
            </v:shape>
            <w10:wrap type="none"/>
          </v:group>
        </w:pict>
      </w:r>
      <w:r>
        <w:rPr/>
        <w:pict>
          <v:shape style="position:absolute;margin-left:80.266235pt;margin-top:165.585266pt;width:11.6pt;height:42.6pt;mso-position-horizontal-relative:page;mso-position-vertical-relative:paragraph;z-index:2344" type="#_x0000_t202" filled="false" stroked="false">
            <v:textbox inset="0,0,0,0" style="layout-flow:vertical;mso-layout-flow-alt:bottom-to-top">
              <w:txbxContent>
                <w:p>
                  <w:pPr>
                    <w:spacing w:before="15"/>
                    <w:ind w:left="20" w:right="0" w:firstLine="0"/>
                    <w:jc w:val="left"/>
                    <w:rPr>
                      <w:b/>
                      <w:sz w:val="17"/>
                    </w:rPr>
                  </w:pPr>
                  <w:r>
                    <w:rPr>
                      <w:b/>
                      <w:color w:val="FFFFFF"/>
                      <w:sz w:val="17"/>
                    </w:rPr>
                    <w:t>SIBLINGS</w:t>
                  </w:r>
                </w:p>
              </w:txbxContent>
            </v:textbox>
            <w10:wrap type="none"/>
          </v:shape>
        </w:pict>
      </w:r>
      <w:r>
        <w:rPr/>
        <w:pict>
          <v:shape style="position:absolute;margin-left:80.266235pt;margin-top:101.09465pt;width:11.6pt;height:42.45pt;mso-position-horizontal-relative:page;mso-position-vertical-relative:paragraph;z-index:2368" type="#_x0000_t202" filled="false" stroked="false">
            <v:textbox inset="0,0,0,0" style="layout-flow:vertical;mso-layout-flow-alt:bottom-to-top">
              <w:txbxContent>
                <w:p>
                  <w:pPr>
                    <w:spacing w:before="15"/>
                    <w:ind w:left="20" w:right="0" w:firstLine="0"/>
                    <w:jc w:val="left"/>
                    <w:rPr>
                      <w:b/>
                      <w:sz w:val="17"/>
                    </w:rPr>
                  </w:pPr>
                  <w:r>
                    <w:rPr>
                      <w:b/>
                      <w:color w:val="FFFFFF"/>
                      <w:sz w:val="17"/>
                    </w:rPr>
                    <w:t>PARENTS</w:t>
                  </w:r>
                </w:p>
              </w:txbxContent>
            </v:textbox>
            <w10:wrap type="none"/>
          </v:shape>
        </w:pict>
      </w:r>
      <w:r>
        <w:rPr/>
        <w:t>The documents listed in the following tables are referenced or were used to develop standards in this technical order. In order to identify process relationships and potential revisions, applicable documents are identified in the Purpose column as </w:t>
      </w:r>
      <w:r>
        <w:rPr>
          <w:i/>
        </w:rPr>
        <w:t>Parent</w:t>
      </w:r>
      <w:r>
        <w:rPr/>
        <w:t>, </w:t>
      </w:r>
      <w:r>
        <w:rPr>
          <w:i/>
        </w:rPr>
        <w:t>Sibling</w:t>
      </w:r>
      <w:r>
        <w:rPr/>
        <w:t>, or </w:t>
      </w:r>
      <w:r>
        <w:rPr>
          <w:i/>
        </w:rPr>
        <w:t>Child</w:t>
      </w:r>
      <w:r>
        <w:rPr/>
        <w:t>, as described in Figure 5-1.</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9"/>
        <w:rPr>
          <w:sz w:val="31"/>
        </w:rPr>
      </w:pPr>
    </w:p>
    <w:p>
      <w:pPr>
        <w:spacing w:before="0"/>
        <w:ind w:left="3369" w:right="0" w:firstLine="0"/>
        <w:jc w:val="left"/>
        <w:rPr>
          <w:b/>
          <w:sz w:val="18"/>
        </w:rPr>
      </w:pPr>
      <w:r>
        <w:rPr/>
        <w:pict>
          <v:shape style="position:absolute;margin-left:80.266235pt;margin-top:-64.127357pt;width:11.6pt;height:46.25pt;mso-position-horizontal-relative:page;mso-position-vertical-relative:paragraph;z-index:2320" type="#_x0000_t202" filled="false" stroked="false">
            <v:textbox inset="0,0,0,0" style="layout-flow:vertical;mso-layout-flow-alt:bottom-to-top">
              <w:txbxContent>
                <w:p>
                  <w:pPr>
                    <w:spacing w:before="15"/>
                    <w:ind w:left="20" w:right="0" w:firstLine="0"/>
                    <w:jc w:val="left"/>
                    <w:rPr>
                      <w:b/>
                      <w:sz w:val="17"/>
                    </w:rPr>
                  </w:pPr>
                  <w:r>
                    <w:rPr>
                      <w:b/>
                      <w:color w:val="FFFFFF"/>
                      <w:sz w:val="17"/>
                    </w:rPr>
                    <w:t>CHILDREN</w:t>
                  </w:r>
                </w:p>
              </w:txbxContent>
            </v:textbox>
            <w10:wrap type="none"/>
          </v:shape>
        </w:pict>
      </w:r>
      <w:r>
        <w:rPr>
          <w:b/>
          <w:sz w:val="18"/>
        </w:rPr>
        <w:t>Figure 4: Process Relationship Descriptions</w:t>
      </w:r>
    </w:p>
    <w:p>
      <w:pPr>
        <w:pStyle w:val="BodyText"/>
        <w:spacing w:before="2"/>
        <w:rPr>
          <w:b/>
          <w:sz w:val="21"/>
        </w:rPr>
      </w:pPr>
    </w:p>
    <w:p>
      <w:pPr>
        <w:pStyle w:val="Heading2"/>
        <w:numPr>
          <w:ilvl w:val="1"/>
          <w:numId w:val="20"/>
        </w:numPr>
        <w:tabs>
          <w:tab w:pos="1156" w:val="left" w:leader="none"/>
          <w:tab w:pos="1157" w:val="left" w:leader="none"/>
        </w:tabs>
        <w:spacing w:line="240" w:lineRule="auto" w:before="0" w:after="0"/>
        <w:ind w:left="1156" w:right="0" w:hanging="576"/>
        <w:jc w:val="left"/>
      </w:pPr>
      <w:bookmarkStart w:name="_bookmark40" w:id="72"/>
      <w:bookmarkEnd w:id="72"/>
      <w:r>
        <w:rPr>
          <w:b w:val="0"/>
        </w:rPr>
      </w:r>
      <w:bookmarkStart w:name="_bookmark40" w:id="73"/>
      <w:bookmarkEnd w:id="73"/>
      <w:r>
        <w:rPr/>
        <w:t>Refere</w:t>
      </w:r>
      <w:r>
        <w:rPr/>
        <w:t>nced</w:t>
      </w:r>
      <w:r>
        <w:rPr>
          <w:spacing w:val="-2"/>
        </w:rPr>
        <w:t> </w:t>
      </w:r>
      <w:r>
        <w:rPr/>
        <w:t>Documents</w:t>
      </w:r>
    </w:p>
    <w:p>
      <w:pPr>
        <w:pStyle w:val="BodyText"/>
        <w:spacing w:line="276" w:lineRule="auto" w:before="121"/>
        <w:ind w:left="580" w:right="1172"/>
      </w:pPr>
      <w:r>
        <w:rPr/>
        <w:t>The following documents are referenced or were used to develop standards in this technical order.</w:t>
      </w:r>
    </w:p>
    <w:p>
      <w:pPr>
        <w:spacing w:before="115"/>
        <w:ind w:left="31" w:right="207" w:firstLine="0"/>
        <w:jc w:val="center"/>
        <w:rPr>
          <w:b/>
          <w:sz w:val="18"/>
        </w:rPr>
      </w:pPr>
      <w:r>
        <w:rPr>
          <w:b/>
          <w:sz w:val="18"/>
        </w:rPr>
        <w:t>Table 5-1: Coast Guard Publications</w:t>
      </w:r>
    </w:p>
    <w:p>
      <w:pPr>
        <w:pStyle w:val="BodyText"/>
        <w:spacing w:before="10"/>
        <w:rPr>
          <w:b/>
          <w:sz w:val="6"/>
        </w:rPr>
      </w:pPr>
    </w:p>
    <w:tbl>
      <w:tblPr>
        <w:tblW w:w="0" w:type="auto"/>
        <w:jc w:val="left"/>
        <w:tblInd w:w="78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0" w:type="dxa"/>
          <w:left w:w="0" w:type="dxa"/>
          <w:bottom w:w="0" w:type="dxa"/>
          <w:right w:w="0" w:type="dxa"/>
        </w:tblCellMar>
        <w:tblLook w:val="01E0"/>
      </w:tblPr>
      <w:tblGrid>
        <w:gridCol w:w="2797"/>
        <w:gridCol w:w="1678"/>
        <w:gridCol w:w="1260"/>
        <w:gridCol w:w="3594"/>
      </w:tblGrid>
      <w:tr>
        <w:trPr>
          <w:trHeight w:val="320" w:hRule="atLeast"/>
        </w:trPr>
        <w:tc>
          <w:tcPr>
            <w:tcW w:w="2797" w:type="dxa"/>
            <w:tcBorders>
              <w:right w:val="single" w:sz="4" w:space="0" w:color="A6A6A6"/>
            </w:tcBorders>
            <w:shd w:val="clear" w:color="auto" w:fill="D9D9D9"/>
          </w:tcPr>
          <w:p>
            <w:pPr>
              <w:pStyle w:val="TableParagraph"/>
              <w:spacing w:before="52"/>
              <w:ind w:left="110"/>
              <w:rPr>
                <w:b/>
                <w:sz w:val="20"/>
              </w:rPr>
            </w:pPr>
            <w:r>
              <w:rPr>
                <w:b/>
                <w:sz w:val="20"/>
              </w:rPr>
              <w:t>Document Name</w:t>
            </w:r>
          </w:p>
        </w:tc>
        <w:tc>
          <w:tcPr>
            <w:tcW w:w="1678" w:type="dxa"/>
            <w:tcBorders>
              <w:left w:val="single" w:sz="4" w:space="0" w:color="A6A6A6"/>
              <w:right w:val="single" w:sz="4" w:space="0" w:color="A6A6A6"/>
            </w:tcBorders>
            <w:shd w:val="clear" w:color="auto" w:fill="D9D9D9"/>
          </w:tcPr>
          <w:p>
            <w:pPr>
              <w:pStyle w:val="TableParagraph"/>
              <w:spacing w:before="52"/>
              <w:ind w:left="114"/>
              <w:rPr>
                <w:b/>
                <w:sz w:val="20"/>
              </w:rPr>
            </w:pPr>
            <w:r>
              <w:rPr>
                <w:b/>
                <w:sz w:val="20"/>
              </w:rPr>
              <w:t>Document No.</w:t>
            </w:r>
          </w:p>
        </w:tc>
        <w:tc>
          <w:tcPr>
            <w:tcW w:w="1260" w:type="dxa"/>
            <w:tcBorders>
              <w:left w:val="single" w:sz="4" w:space="0" w:color="A6A6A6"/>
              <w:right w:val="single" w:sz="4" w:space="0" w:color="A6A6A6"/>
            </w:tcBorders>
            <w:shd w:val="clear" w:color="auto" w:fill="D9D9D9"/>
          </w:tcPr>
          <w:p>
            <w:pPr>
              <w:pStyle w:val="TableParagraph"/>
              <w:spacing w:before="52"/>
              <w:rPr>
                <w:b/>
                <w:sz w:val="20"/>
              </w:rPr>
            </w:pPr>
            <w:r>
              <w:rPr>
                <w:b/>
                <w:sz w:val="20"/>
              </w:rPr>
              <w:t>Rev / Date</w:t>
            </w:r>
          </w:p>
        </w:tc>
        <w:tc>
          <w:tcPr>
            <w:tcW w:w="3594" w:type="dxa"/>
            <w:tcBorders>
              <w:left w:val="single" w:sz="4" w:space="0" w:color="A6A6A6"/>
              <w:right w:val="single" w:sz="4" w:space="0" w:color="A6A6A6"/>
            </w:tcBorders>
            <w:shd w:val="clear" w:color="auto" w:fill="D9D9D9"/>
          </w:tcPr>
          <w:p>
            <w:pPr>
              <w:pStyle w:val="TableParagraph"/>
              <w:spacing w:before="52"/>
              <w:rPr>
                <w:b/>
                <w:sz w:val="20"/>
              </w:rPr>
            </w:pPr>
            <w:r>
              <w:rPr>
                <w:b/>
                <w:sz w:val="20"/>
              </w:rPr>
              <w:t>Purpose</w:t>
            </w:r>
          </w:p>
        </w:tc>
      </w:tr>
      <w:tr>
        <w:trPr>
          <w:trHeight w:val="591" w:hRule="atLeast"/>
        </w:trPr>
        <w:tc>
          <w:tcPr>
            <w:tcW w:w="2797" w:type="dxa"/>
            <w:tcBorders>
              <w:top w:val="single" w:sz="18" w:space="0" w:color="D9D9D9"/>
              <w:left w:val="single" w:sz="4" w:space="0" w:color="BEBEBE"/>
              <w:bottom w:val="single" w:sz="4" w:space="0" w:color="BEBEBE"/>
              <w:right w:val="single" w:sz="4" w:space="0" w:color="BEBEBE"/>
            </w:tcBorders>
          </w:tcPr>
          <w:p>
            <w:pPr>
              <w:pStyle w:val="TableParagraph"/>
              <w:spacing w:before="61"/>
              <w:rPr>
                <w:sz w:val="20"/>
              </w:rPr>
            </w:pPr>
            <w:r>
              <w:rPr>
                <w:sz w:val="20"/>
              </w:rPr>
              <w:t>Civil Engineering Manual</w:t>
            </w:r>
          </w:p>
        </w:tc>
        <w:tc>
          <w:tcPr>
            <w:tcW w:w="1678" w:type="dxa"/>
            <w:tcBorders>
              <w:top w:val="single" w:sz="18" w:space="0" w:color="D9D9D9"/>
              <w:left w:val="single" w:sz="4" w:space="0" w:color="BEBEBE"/>
              <w:bottom w:val="single" w:sz="4" w:space="0" w:color="BEBEBE"/>
              <w:right w:val="single" w:sz="4" w:space="0" w:color="BEBEBE"/>
            </w:tcBorders>
          </w:tcPr>
          <w:p>
            <w:pPr>
              <w:pStyle w:val="TableParagraph"/>
              <w:spacing w:before="61"/>
              <w:ind w:left="114"/>
              <w:rPr>
                <w:sz w:val="20"/>
              </w:rPr>
            </w:pPr>
            <w:r>
              <w:rPr>
                <w:w w:val="95"/>
                <w:sz w:val="20"/>
              </w:rPr>
              <w:t>COMDTINST </w:t>
            </w:r>
            <w:r>
              <w:rPr>
                <w:sz w:val="20"/>
              </w:rPr>
              <w:t>M11000.11</w:t>
            </w:r>
          </w:p>
        </w:tc>
        <w:tc>
          <w:tcPr>
            <w:tcW w:w="1260" w:type="dxa"/>
            <w:tcBorders>
              <w:top w:val="single" w:sz="18" w:space="0" w:color="D9D9D9"/>
              <w:left w:val="single" w:sz="4" w:space="0" w:color="BEBEBE"/>
              <w:bottom w:val="single" w:sz="4" w:space="0" w:color="BEBEBE"/>
              <w:right w:val="single" w:sz="4" w:space="0" w:color="BEBEBE"/>
            </w:tcBorders>
          </w:tcPr>
          <w:p>
            <w:pPr>
              <w:pStyle w:val="TableParagraph"/>
              <w:spacing w:before="61"/>
              <w:rPr>
                <w:sz w:val="20"/>
              </w:rPr>
            </w:pPr>
            <w:r>
              <w:rPr>
                <w:sz w:val="20"/>
              </w:rPr>
              <w:t>Series</w:t>
            </w:r>
          </w:p>
        </w:tc>
        <w:tc>
          <w:tcPr>
            <w:tcW w:w="3594" w:type="dxa"/>
            <w:tcBorders>
              <w:top w:val="single" w:sz="18" w:space="0" w:color="D9D9D9"/>
              <w:left w:val="single" w:sz="4" w:space="0" w:color="BEBEBE"/>
              <w:bottom w:val="single" w:sz="4" w:space="0" w:color="BEBEBE"/>
              <w:right w:val="single" w:sz="4" w:space="0" w:color="BEBEBE"/>
            </w:tcBorders>
          </w:tcPr>
          <w:p>
            <w:pPr>
              <w:pStyle w:val="TableParagraph"/>
              <w:spacing w:before="61"/>
              <w:ind w:right="378"/>
              <w:rPr>
                <w:sz w:val="20"/>
              </w:rPr>
            </w:pPr>
            <w:r>
              <w:rPr>
                <w:sz w:val="20"/>
              </w:rPr>
              <w:t>(Parent) Establishes framework for the CE program</w:t>
            </w:r>
          </w:p>
        </w:tc>
      </w:tr>
      <w:tr>
        <w:trPr>
          <w:trHeight w:val="828" w:hRule="atLeast"/>
        </w:trPr>
        <w:tc>
          <w:tcPr>
            <w:tcW w:w="2797" w:type="dxa"/>
            <w:tcBorders>
              <w:top w:val="single" w:sz="4" w:space="0" w:color="BEBEBE"/>
              <w:left w:val="single" w:sz="4" w:space="0" w:color="BEBEBE"/>
              <w:bottom w:val="single" w:sz="4" w:space="0" w:color="BEBEBE"/>
              <w:right w:val="single" w:sz="4" w:space="0" w:color="BEBEBE"/>
            </w:tcBorders>
          </w:tcPr>
          <w:p>
            <w:pPr>
              <w:pStyle w:val="TableParagraph"/>
              <w:spacing w:before="66"/>
              <w:rPr>
                <w:sz w:val="20"/>
              </w:rPr>
            </w:pPr>
            <w:r>
              <w:rPr>
                <w:sz w:val="20"/>
              </w:rPr>
              <w:t>Shore Facilities Utilities Metering Guidance Memorandum</w:t>
            </w:r>
          </w:p>
        </w:tc>
        <w:tc>
          <w:tcPr>
            <w:tcW w:w="167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18"/>
              </w:rPr>
            </w:pPr>
          </w:p>
        </w:tc>
        <w:tc>
          <w:tcPr>
            <w:tcW w:w="1260" w:type="dxa"/>
            <w:tcBorders>
              <w:top w:val="single" w:sz="4" w:space="0" w:color="BEBEBE"/>
              <w:left w:val="single" w:sz="4" w:space="0" w:color="BEBEBE"/>
              <w:bottom w:val="single" w:sz="4" w:space="0" w:color="BEBEBE"/>
              <w:right w:val="single" w:sz="4" w:space="0" w:color="BEBEBE"/>
            </w:tcBorders>
          </w:tcPr>
          <w:p>
            <w:pPr>
              <w:pStyle w:val="TableParagraph"/>
              <w:spacing w:before="182"/>
              <w:rPr>
                <w:sz w:val="20"/>
              </w:rPr>
            </w:pPr>
            <w:r>
              <w:rPr>
                <w:sz w:val="20"/>
              </w:rPr>
              <w:t>06 Nov</w:t>
            </w:r>
          </w:p>
          <w:p>
            <w:pPr>
              <w:pStyle w:val="TableParagraph"/>
              <w:spacing w:before="0"/>
              <w:rPr>
                <w:sz w:val="20"/>
              </w:rPr>
            </w:pPr>
            <w:r>
              <w:rPr>
                <w:sz w:val="20"/>
              </w:rPr>
              <w:t>2014</w:t>
            </w:r>
          </w:p>
        </w:tc>
        <w:tc>
          <w:tcPr>
            <w:tcW w:w="3594" w:type="dxa"/>
            <w:tcBorders>
              <w:top w:val="single" w:sz="4" w:space="0" w:color="BEBEBE"/>
              <w:left w:val="single" w:sz="4" w:space="0" w:color="BEBEBE"/>
              <w:bottom w:val="single" w:sz="4" w:space="0" w:color="BEBEBE"/>
              <w:right w:val="single" w:sz="4" w:space="0" w:color="BEBEBE"/>
            </w:tcBorders>
          </w:tcPr>
          <w:p>
            <w:pPr>
              <w:pStyle w:val="TableParagraph"/>
              <w:spacing w:before="9"/>
              <w:ind w:left="0"/>
              <w:rPr>
                <w:b/>
                <w:sz w:val="25"/>
              </w:rPr>
            </w:pPr>
          </w:p>
          <w:p>
            <w:pPr>
              <w:pStyle w:val="TableParagraph"/>
              <w:spacing w:before="0"/>
              <w:rPr>
                <w:sz w:val="20"/>
              </w:rPr>
            </w:pPr>
            <w:r>
              <w:rPr>
                <w:sz w:val="20"/>
              </w:rPr>
              <w:t>(Parent) CG-43 Memorandum</w:t>
            </w:r>
          </w:p>
        </w:tc>
      </w:tr>
      <w:tr>
        <w:trPr>
          <w:trHeight w:val="827" w:hRule="atLeast"/>
        </w:trPr>
        <w:tc>
          <w:tcPr>
            <w:tcW w:w="2797" w:type="dxa"/>
            <w:tcBorders>
              <w:top w:val="single" w:sz="4" w:space="0" w:color="BEBEBE"/>
              <w:left w:val="single" w:sz="4" w:space="0" w:color="BEBEBE"/>
              <w:bottom w:val="single" w:sz="4" w:space="0" w:color="BEBEBE"/>
              <w:right w:val="single" w:sz="4" w:space="0" w:color="BEBEBE"/>
            </w:tcBorders>
          </w:tcPr>
          <w:p>
            <w:pPr>
              <w:pStyle w:val="TableParagraph"/>
              <w:spacing w:before="66"/>
              <w:ind w:right="136"/>
              <w:rPr>
                <w:sz w:val="20"/>
              </w:rPr>
            </w:pPr>
            <w:r>
              <w:rPr>
                <w:sz w:val="20"/>
              </w:rPr>
              <w:t>Shore Infrastructure – Mission Support Business Model RDTO</w:t>
            </w:r>
          </w:p>
        </w:tc>
        <w:tc>
          <w:tcPr>
            <w:tcW w:w="1678" w:type="dxa"/>
            <w:tcBorders>
              <w:top w:val="single" w:sz="4" w:space="0" w:color="BEBEBE"/>
              <w:left w:val="single" w:sz="4" w:space="0" w:color="BEBEBE"/>
              <w:bottom w:val="single" w:sz="4" w:space="0" w:color="BEBEBE"/>
              <w:right w:val="single" w:sz="4" w:space="0" w:color="BEBEBE"/>
            </w:tcBorders>
          </w:tcPr>
          <w:p>
            <w:pPr>
              <w:pStyle w:val="TableParagraph"/>
              <w:spacing w:before="66"/>
              <w:ind w:left="114"/>
              <w:rPr>
                <w:sz w:val="20"/>
              </w:rPr>
            </w:pPr>
            <w:r>
              <w:rPr>
                <w:w w:val="95"/>
                <w:sz w:val="20"/>
              </w:rPr>
              <w:t>SILC-RDTO-36- </w:t>
            </w:r>
            <w:r>
              <w:rPr>
                <w:sz w:val="20"/>
              </w:rPr>
              <w:t>11 29 11 00-01</w:t>
            </w:r>
          </w:p>
        </w:tc>
        <w:tc>
          <w:tcPr>
            <w:tcW w:w="1260" w:type="dxa"/>
            <w:tcBorders>
              <w:top w:val="single" w:sz="4" w:space="0" w:color="BEBEBE"/>
              <w:left w:val="single" w:sz="4" w:space="0" w:color="BEBEBE"/>
              <w:bottom w:val="single" w:sz="4" w:space="0" w:color="BEBEBE"/>
              <w:right w:val="single" w:sz="4" w:space="0" w:color="BEBEBE"/>
            </w:tcBorders>
          </w:tcPr>
          <w:p>
            <w:pPr>
              <w:pStyle w:val="TableParagraph"/>
              <w:spacing w:before="66"/>
              <w:rPr>
                <w:sz w:val="20"/>
              </w:rPr>
            </w:pPr>
            <w:r>
              <w:rPr>
                <w:sz w:val="20"/>
              </w:rPr>
              <w:t>Latest</w:t>
            </w:r>
          </w:p>
        </w:tc>
        <w:tc>
          <w:tcPr>
            <w:tcW w:w="3594" w:type="dxa"/>
            <w:tcBorders>
              <w:top w:val="single" w:sz="4" w:space="0" w:color="BEBEBE"/>
              <w:left w:val="single" w:sz="4" w:space="0" w:color="BEBEBE"/>
              <w:bottom w:val="single" w:sz="4" w:space="0" w:color="BEBEBE"/>
              <w:right w:val="single" w:sz="4" w:space="0" w:color="BEBEBE"/>
            </w:tcBorders>
          </w:tcPr>
          <w:p>
            <w:pPr>
              <w:pStyle w:val="TableParagraph"/>
              <w:spacing w:before="66"/>
              <w:rPr>
                <w:sz w:val="20"/>
              </w:rPr>
            </w:pPr>
            <w:r>
              <w:rPr>
                <w:sz w:val="20"/>
              </w:rPr>
              <w:t>(Parent) Authority for creating SILC technical orders to further define the MSBM</w:t>
            </w:r>
          </w:p>
        </w:tc>
      </w:tr>
      <w:tr>
        <w:trPr>
          <w:trHeight w:val="599" w:hRule="atLeast"/>
        </w:trPr>
        <w:tc>
          <w:tcPr>
            <w:tcW w:w="2797" w:type="dxa"/>
            <w:tcBorders>
              <w:top w:val="single" w:sz="4" w:space="0" w:color="BEBEBE"/>
              <w:left w:val="single" w:sz="4" w:space="0" w:color="BEBEBE"/>
              <w:bottom w:val="single" w:sz="4" w:space="0" w:color="BEBEBE"/>
              <w:right w:val="single" w:sz="4" w:space="0" w:color="BEBEBE"/>
            </w:tcBorders>
          </w:tcPr>
          <w:p>
            <w:pPr>
              <w:pStyle w:val="TableParagraph"/>
              <w:spacing w:before="69"/>
              <w:ind w:right="369"/>
              <w:rPr>
                <w:sz w:val="20"/>
              </w:rPr>
            </w:pPr>
            <w:r>
              <w:rPr>
                <w:sz w:val="20"/>
              </w:rPr>
              <w:t>Safety and Environmental Health Manual</w:t>
            </w:r>
          </w:p>
        </w:tc>
        <w:tc>
          <w:tcPr>
            <w:tcW w:w="1678" w:type="dxa"/>
            <w:tcBorders>
              <w:top w:val="single" w:sz="4" w:space="0" w:color="BEBEBE"/>
              <w:left w:val="single" w:sz="4" w:space="0" w:color="BEBEBE"/>
              <w:bottom w:val="single" w:sz="4" w:space="0" w:color="BEBEBE"/>
              <w:right w:val="single" w:sz="4" w:space="0" w:color="BEBEBE"/>
            </w:tcBorders>
          </w:tcPr>
          <w:p>
            <w:pPr>
              <w:pStyle w:val="TableParagraph"/>
              <w:spacing w:before="69"/>
              <w:ind w:left="114"/>
              <w:rPr>
                <w:sz w:val="20"/>
              </w:rPr>
            </w:pPr>
            <w:r>
              <w:rPr>
                <w:w w:val="95"/>
                <w:sz w:val="20"/>
              </w:rPr>
              <w:t>COMDTINST </w:t>
            </w:r>
            <w:r>
              <w:rPr>
                <w:sz w:val="20"/>
              </w:rPr>
              <w:t>M5100.47</w:t>
            </w:r>
          </w:p>
        </w:tc>
        <w:tc>
          <w:tcPr>
            <w:tcW w:w="1260" w:type="dxa"/>
            <w:tcBorders>
              <w:top w:val="single" w:sz="4" w:space="0" w:color="BEBEBE"/>
              <w:left w:val="single" w:sz="4" w:space="0" w:color="BEBEBE"/>
              <w:bottom w:val="single" w:sz="4" w:space="0" w:color="BEBEBE"/>
              <w:right w:val="single" w:sz="4" w:space="0" w:color="BEBEBE"/>
            </w:tcBorders>
          </w:tcPr>
          <w:p>
            <w:pPr>
              <w:pStyle w:val="TableParagraph"/>
              <w:spacing w:before="69"/>
              <w:rPr>
                <w:sz w:val="20"/>
              </w:rPr>
            </w:pPr>
            <w:r>
              <w:rPr>
                <w:sz w:val="20"/>
              </w:rPr>
              <w:t>Series</w:t>
            </w:r>
          </w:p>
        </w:tc>
        <w:tc>
          <w:tcPr>
            <w:tcW w:w="3594" w:type="dxa"/>
            <w:tcBorders>
              <w:top w:val="single" w:sz="4" w:space="0" w:color="BEBEBE"/>
              <w:left w:val="single" w:sz="4" w:space="0" w:color="BEBEBE"/>
              <w:bottom w:val="single" w:sz="4" w:space="0" w:color="BEBEBE"/>
              <w:right w:val="single" w:sz="4" w:space="0" w:color="BEBEBE"/>
            </w:tcBorders>
          </w:tcPr>
          <w:p>
            <w:pPr>
              <w:pStyle w:val="TableParagraph"/>
              <w:spacing w:before="69"/>
              <w:ind w:right="188"/>
              <w:rPr>
                <w:sz w:val="20"/>
              </w:rPr>
            </w:pPr>
            <w:r>
              <w:rPr>
                <w:sz w:val="20"/>
              </w:rPr>
              <w:t>(Parent) Defines safety requirements for working with Electrical Utilities</w:t>
            </w:r>
          </w:p>
        </w:tc>
      </w:tr>
      <w:tr>
        <w:trPr>
          <w:trHeight w:val="1057" w:hRule="atLeast"/>
        </w:trPr>
        <w:tc>
          <w:tcPr>
            <w:tcW w:w="2797" w:type="dxa"/>
            <w:tcBorders>
              <w:top w:val="single" w:sz="4" w:space="0" w:color="BEBEBE"/>
              <w:left w:val="single" w:sz="4" w:space="0" w:color="BEBEBE"/>
              <w:bottom w:val="single" w:sz="4" w:space="0" w:color="BEBEBE"/>
              <w:right w:val="single" w:sz="4" w:space="0" w:color="BEBEBE"/>
            </w:tcBorders>
          </w:tcPr>
          <w:p>
            <w:pPr>
              <w:pStyle w:val="TableParagraph"/>
              <w:spacing w:before="66"/>
              <w:ind w:right="881"/>
              <w:rPr>
                <w:sz w:val="20"/>
              </w:rPr>
            </w:pPr>
            <w:r>
              <w:rPr>
                <w:sz w:val="20"/>
              </w:rPr>
              <w:t>EISA Audit Covered Facilities List</w:t>
            </w:r>
          </w:p>
        </w:tc>
        <w:tc>
          <w:tcPr>
            <w:tcW w:w="167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18"/>
              </w:rPr>
            </w:pPr>
          </w:p>
        </w:tc>
        <w:tc>
          <w:tcPr>
            <w:tcW w:w="1260"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18"/>
              </w:rPr>
            </w:pPr>
          </w:p>
        </w:tc>
        <w:tc>
          <w:tcPr>
            <w:tcW w:w="3594" w:type="dxa"/>
            <w:tcBorders>
              <w:top w:val="single" w:sz="4" w:space="0" w:color="BEBEBE"/>
              <w:left w:val="single" w:sz="4" w:space="0" w:color="BEBEBE"/>
              <w:bottom w:val="single" w:sz="4" w:space="0" w:color="BEBEBE"/>
              <w:right w:val="single" w:sz="4" w:space="0" w:color="BEBEBE"/>
            </w:tcBorders>
          </w:tcPr>
          <w:p>
            <w:pPr>
              <w:pStyle w:val="TableParagraph"/>
              <w:spacing w:before="66"/>
              <w:ind w:right="188"/>
              <w:rPr>
                <w:sz w:val="20"/>
              </w:rPr>
            </w:pPr>
            <w:r>
              <w:rPr>
                <w:sz w:val="20"/>
              </w:rPr>
              <w:t>Defines Facilities which are required to be included in the Energy Audits- High Energy Usage 75% of USCG Energy Usage</w:t>
            </w:r>
          </w:p>
        </w:tc>
      </w:tr>
    </w:tbl>
    <w:p>
      <w:pPr>
        <w:spacing w:after="0"/>
        <w:rPr>
          <w:sz w:val="20"/>
        </w:rPr>
        <w:sectPr>
          <w:pgSz w:w="12240" w:h="15840"/>
          <w:pgMar w:header="724" w:footer="1020" w:top="1220" w:bottom="1220" w:left="860" w:right="68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17"/>
        </w:rPr>
      </w:pPr>
    </w:p>
    <w:p>
      <w:pPr>
        <w:spacing w:before="94"/>
        <w:ind w:left="31" w:right="210" w:firstLine="0"/>
        <w:jc w:val="center"/>
        <w:rPr>
          <w:b/>
          <w:sz w:val="18"/>
        </w:rPr>
      </w:pPr>
      <w:r>
        <w:rPr>
          <w:b/>
          <w:sz w:val="18"/>
        </w:rPr>
        <w:t>Table 5-2: Other Government Publications</w:t>
      </w:r>
    </w:p>
    <w:p>
      <w:pPr>
        <w:pStyle w:val="BodyText"/>
        <w:spacing w:before="7"/>
        <w:rPr>
          <w:b/>
          <w:sz w:val="5"/>
        </w:rPr>
      </w:pPr>
    </w:p>
    <w:tbl>
      <w:tblPr>
        <w:tblW w:w="0" w:type="auto"/>
        <w:jc w:val="left"/>
        <w:tblInd w:w="78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0" w:type="dxa"/>
          <w:left w:w="0" w:type="dxa"/>
          <w:bottom w:w="0" w:type="dxa"/>
          <w:right w:w="0" w:type="dxa"/>
        </w:tblCellMar>
        <w:tblLook w:val="01E0"/>
      </w:tblPr>
      <w:tblGrid>
        <w:gridCol w:w="2797"/>
        <w:gridCol w:w="1678"/>
        <w:gridCol w:w="1260"/>
        <w:gridCol w:w="3594"/>
      </w:tblGrid>
      <w:tr>
        <w:trPr>
          <w:trHeight w:val="366" w:hRule="atLeast"/>
        </w:trPr>
        <w:tc>
          <w:tcPr>
            <w:tcW w:w="2797" w:type="dxa"/>
            <w:tcBorders>
              <w:bottom w:val="single" w:sz="4" w:space="0" w:color="BEBEBE"/>
            </w:tcBorders>
            <w:shd w:val="clear" w:color="auto" w:fill="D9D9D9"/>
          </w:tcPr>
          <w:p>
            <w:pPr>
              <w:pStyle w:val="TableParagraph"/>
              <w:spacing w:before="64"/>
              <w:ind w:left="110"/>
              <w:rPr>
                <w:b/>
                <w:sz w:val="20"/>
              </w:rPr>
            </w:pPr>
            <w:r>
              <w:rPr>
                <w:b/>
                <w:sz w:val="20"/>
              </w:rPr>
              <w:t>Document Name</w:t>
            </w:r>
          </w:p>
        </w:tc>
        <w:tc>
          <w:tcPr>
            <w:tcW w:w="1678" w:type="dxa"/>
            <w:tcBorders>
              <w:bottom w:val="single" w:sz="4" w:space="0" w:color="BEBEBE"/>
            </w:tcBorders>
            <w:shd w:val="clear" w:color="auto" w:fill="D9D9D9"/>
          </w:tcPr>
          <w:p>
            <w:pPr>
              <w:pStyle w:val="TableParagraph"/>
              <w:spacing w:before="64"/>
              <w:ind w:left="117"/>
              <w:rPr>
                <w:b/>
                <w:sz w:val="20"/>
              </w:rPr>
            </w:pPr>
            <w:r>
              <w:rPr>
                <w:b/>
                <w:sz w:val="20"/>
              </w:rPr>
              <w:t>Document No.</w:t>
            </w:r>
          </w:p>
        </w:tc>
        <w:tc>
          <w:tcPr>
            <w:tcW w:w="1260" w:type="dxa"/>
            <w:tcBorders>
              <w:bottom w:val="single" w:sz="4" w:space="0" w:color="BEBEBE"/>
            </w:tcBorders>
            <w:shd w:val="clear" w:color="auto" w:fill="D9D9D9"/>
          </w:tcPr>
          <w:p>
            <w:pPr>
              <w:pStyle w:val="TableParagraph"/>
              <w:spacing w:before="64"/>
              <w:ind w:left="109"/>
              <w:rPr>
                <w:b/>
                <w:sz w:val="20"/>
              </w:rPr>
            </w:pPr>
            <w:r>
              <w:rPr>
                <w:b/>
                <w:sz w:val="20"/>
              </w:rPr>
              <w:t>Rev / Date</w:t>
            </w:r>
          </w:p>
        </w:tc>
        <w:tc>
          <w:tcPr>
            <w:tcW w:w="3594" w:type="dxa"/>
            <w:tcBorders>
              <w:bottom w:val="single" w:sz="4" w:space="0" w:color="BEBEBE"/>
            </w:tcBorders>
            <w:shd w:val="clear" w:color="auto" w:fill="D9D9D9"/>
          </w:tcPr>
          <w:p>
            <w:pPr>
              <w:pStyle w:val="TableParagraph"/>
              <w:spacing w:before="64"/>
              <w:ind w:left="109"/>
              <w:rPr>
                <w:b/>
                <w:sz w:val="20"/>
              </w:rPr>
            </w:pPr>
            <w:r>
              <w:rPr>
                <w:b/>
                <w:sz w:val="20"/>
              </w:rPr>
              <w:t>Purpose</w:t>
            </w:r>
          </w:p>
        </w:tc>
      </w:tr>
      <w:tr>
        <w:trPr>
          <w:trHeight w:val="637" w:hRule="atLeast"/>
        </w:trPr>
        <w:tc>
          <w:tcPr>
            <w:tcW w:w="2797" w:type="dxa"/>
            <w:tcBorders>
              <w:top w:val="single" w:sz="4" w:space="0" w:color="BEBEBE"/>
              <w:left w:val="single" w:sz="4" w:space="0" w:color="BEBEBE"/>
              <w:bottom w:val="single" w:sz="4" w:space="0" w:color="BEBEBE"/>
              <w:right w:val="single" w:sz="4" w:space="0" w:color="BEBEBE"/>
            </w:tcBorders>
          </w:tcPr>
          <w:p>
            <w:pPr>
              <w:pStyle w:val="TableParagraph"/>
              <w:spacing w:before="88"/>
              <w:rPr>
                <w:sz w:val="20"/>
              </w:rPr>
            </w:pPr>
            <w:r>
              <w:rPr>
                <w:sz w:val="20"/>
              </w:rPr>
              <w:t>Energy Independence and Security Act of 2007</w:t>
            </w:r>
          </w:p>
        </w:tc>
        <w:tc>
          <w:tcPr>
            <w:tcW w:w="1678" w:type="dxa"/>
            <w:tcBorders>
              <w:top w:val="single" w:sz="4" w:space="0" w:color="BEBEBE"/>
              <w:left w:val="single" w:sz="4" w:space="0" w:color="BEBEBE"/>
              <w:bottom w:val="single" w:sz="4" w:space="0" w:color="BEBEBE"/>
              <w:right w:val="single" w:sz="4" w:space="0" w:color="BEBEBE"/>
            </w:tcBorders>
          </w:tcPr>
          <w:p>
            <w:pPr>
              <w:pStyle w:val="TableParagraph"/>
              <w:spacing w:before="69"/>
              <w:ind w:left="114"/>
              <w:rPr>
                <w:sz w:val="20"/>
              </w:rPr>
            </w:pPr>
            <w:r>
              <w:rPr>
                <w:sz w:val="20"/>
              </w:rPr>
              <w:t>EISA 2007</w:t>
            </w:r>
          </w:p>
        </w:tc>
        <w:tc>
          <w:tcPr>
            <w:tcW w:w="1260" w:type="dxa"/>
            <w:tcBorders>
              <w:top w:val="single" w:sz="4" w:space="0" w:color="BEBEBE"/>
              <w:left w:val="single" w:sz="4" w:space="0" w:color="BEBEBE"/>
              <w:bottom w:val="single" w:sz="4" w:space="0" w:color="BEBEBE"/>
              <w:right w:val="single" w:sz="4" w:space="0" w:color="BEBEBE"/>
            </w:tcBorders>
          </w:tcPr>
          <w:p>
            <w:pPr>
              <w:pStyle w:val="TableParagraph"/>
              <w:spacing w:before="7"/>
              <w:ind w:left="0"/>
              <w:rPr>
                <w:b/>
                <w:sz w:val="17"/>
              </w:rPr>
            </w:pPr>
          </w:p>
          <w:p>
            <w:pPr>
              <w:pStyle w:val="TableParagraph"/>
              <w:spacing w:before="1"/>
              <w:rPr>
                <w:sz w:val="20"/>
              </w:rPr>
            </w:pPr>
            <w:r>
              <w:rPr>
                <w:sz w:val="20"/>
              </w:rPr>
              <w:t>2007</w:t>
            </w:r>
          </w:p>
        </w:tc>
        <w:tc>
          <w:tcPr>
            <w:tcW w:w="3594" w:type="dxa"/>
            <w:tcBorders>
              <w:top w:val="single" w:sz="4" w:space="0" w:color="BEBEBE"/>
              <w:left w:val="single" w:sz="4" w:space="0" w:color="BEBEBE"/>
              <w:bottom w:val="single" w:sz="4" w:space="0" w:color="BEBEBE"/>
              <w:right w:val="single" w:sz="4" w:space="0" w:color="BEBEBE"/>
            </w:tcBorders>
          </w:tcPr>
          <w:p>
            <w:pPr>
              <w:pStyle w:val="TableParagraph"/>
              <w:spacing w:before="7"/>
              <w:ind w:left="0"/>
              <w:rPr>
                <w:b/>
                <w:sz w:val="17"/>
              </w:rPr>
            </w:pPr>
          </w:p>
          <w:p>
            <w:pPr>
              <w:pStyle w:val="TableParagraph"/>
              <w:spacing w:before="1"/>
              <w:rPr>
                <w:sz w:val="20"/>
              </w:rPr>
            </w:pPr>
            <w:r>
              <w:rPr>
                <w:sz w:val="20"/>
              </w:rPr>
              <w:t>Provides high level requirements</w:t>
            </w:r>
          </w:p>
        </w:tc>
      </w:tr>
      <w:tr>
        <w:trPr>
          <w:trHeight w:val="633" w:hRule="atLeast"/>
        </w:trPr>
        <w:tc>
          <w:tcPr>
            <w:tcW w:w="2797" w:type="dxa"/>
            <w:tcBorders>
              <w:top w:val="single" w:sz="4" w:space="0" w:color="BEBEBE"/>
              <w:left w:val="single" w:sz="4" w:space="0" w:color="BEBEBE"/>
              <w:bottom w:val="single" w:sz="4" w:space="0" w:color="BEBEBE"/>
              <w:right w:val="single" w:sz="4" w:space="0" w:color="BEBEBE"/>
            </w:tcBorders>
          </w:tcPr>
          <w:p>
            <w:pPr>
              <w:pStyle w:val="TableParagraph"/>
              <w:spacing w:before="62"/>
              <w:rPr>
                <w:sz w:val="20"/>
              </w:rPr>
            </w:pPr>
            <w:r>
              <w:rPr>
                <w:sz w:val="20"/>
              </w:rPr>
              <w:t>Energy Policy Act of 2005</w:t>
            </w:r>
          </w:p>
        </w:tc>
        <w:tc>
          <w:tcPr>
            <w:tcW w:w="1678" w:type="dxa"/>
            <w:tcBorders>
              <w:top w:val="single" w:sz="4" w:space="0" w:color="BEBEBE"/>
              <w:left w:val="single" w:sz="4" w:space="0" w:color="BEBEBE"/>
              <w:bottom w:val="single" w:sz="4" w:space="0" w:color="BEBEBE"/>
              <w:right w:val="single" w:sz="4" w:space="0" w:color="BEBEBE"/>
            </w:tcBorders>
          </w:tcPr>
          <w:p>
            <w:pPr>
              <w:pStyle w:val="TableParagraph"/>
              <w:spacing w:before="3"/>
              <w:ind w:left="0"/>
              <w:rPr>
                <w:b/>
                <w:sz w:val="17"/>
              </w:rPr>
            </w:pPr>
          </w:p>
          <w:p>
            <w:pPr>
              <w:pStyle w:val="TableParagraph"/>
              <w:spacing w:before="0"/>
              <w:ind w:left="114"/>
              <w:rPr>
                <w:sz w:val="20"/>
              </w:rPr>
            </w:pPr>
            <w:r>
              <w:rPr>
                <w:sz w:val="20"/>
              </w:rPr>
              <w:t>EPAct 2005</w:t>
            </w:r>
          </w:p>
        </w:tc>
        <w:tc>
          <w:tcPr>
            <w:tcW w:w="1260" w:type="dxa"/>
            <w:tcBorders>
              <w:top w:val="single" w:sz="4" w:space="0" w:color="BEBEBE"/>
              <w:left w:val="single" w:sz="4" w:space="0" w:color="BEBEBE"/>
              <w:bottom w:val="single" w:sz="4" w:space="0" w:color="BEBEBE"/>
              <w:right w:val="single" w:sz="4" w:space="0" w:color="BEBEBE"/>
            </w:tcBorders>
          </w:tcPr>
          <w:p>
            <w:pPr>
              <w:pStyle w:val="TableParagraph"/>
              <w:spacing w:before="3"/>
              <w:ind w:left="0"/>
              <w:rPr>
                <w:b/>
                <w:sz w:val="17"/>
              </w:rPr>
            </w:pPr>
          </w:p>
          <w:p>
            <w:pPr>
              <w:pStyle w:val="TableParagraph"/>
              <w:spacing w:before="0"/>
              <w:rPr>
                <w:sz w:val="20"/>
              </w:rPr>
            </w:pPr>
            <w:r>
              <w:rPr>
                <w:sz w:val="20"/>
              </w:rPr>
              <w:t>2005</w:t>
            </w:r>
          </w:p>
        </w:tc>
        <w:tc>
          <w:tcPr>
            <w:tcW w:w="3594" w:type="dxa"/>
            <w:tcBorders>
              <w:top w:val="single" w:sz="4" w:space="0" w:color="BEBEBE"/>
              <w:left w:val="single" w:sz="4" w:space="0" w:color="BEBEBE"/>
              <w:bottom w:val="single" w:sz="4" w:space="0" w:color="BEBEBE"/>
              <w:right w:val="single" w:sz="4" w:space="0" w:color="BEBEBE"/>
            </w:tcBorders>
          </w:tcPr>
          <w:p>
            <w:pPr>
              <w:pStyle w:val="TableParagraph"/>
              <w:spacing w:before="3"/>
              <w:ind w:left="0"/>
              <w:rPr>
                <w:b/>
                <w:sz w:val="17"/>
              </w:rPr>
            </w:pPr>
          </w:p>
          <w:p>
            <w:pPr>
              <w:pStyle w:val="TableParagraph"/>
              <w:spacing w:before="0"/>
              <w:rPr>
                <w:sz w:val="20"/>
              </w:rPr>
            </w:pPr>
            <w:r>
              <w:rPr>
                <w:sz w:val="20"/>
              </w:rPr>
              <w:t>Provides high level requirements</w:t>
            </w:r>
          </w:p>
        </w:tc>
      </w:tr>
      <w:tr>
        <w:trPr>
          <w:trHeight w:val="828" w:hRule="atLeast"/>
        </w:trPr>
        <w:tc>
          <w:tcPr>
            <w:tcW w:w="2797" w:type="dxa"/>
            <w:tcBorders>
              <w:top w:val="single" w:sz="4" w:space="0" w:color="BEBEBE"/>
              <w:left w:val="single" w:sz="4" w:space="0" w:color="BEBEBE"/>
              <w:bottom w:val="single" w:sz="4" w:space="0" w:color="BEBEBE"/>
              <w:right w:val="single" w:sz="4" w:space="0" w:color="BEBEBE"/>
            </w:tcBorders>
          </w:tcPr>
          <w:p>
            <w:pPr>
              <w:pStyle w:val="TableParagraph"/>
              <w:spacing w:before="66"/>
              <w:ind w:right="136"/>
              <w:rPr>
                <w:sz w:val="20"/>
              </w:rPr>
            </w:pPr>
            <w:r>
              <w:rPr>
                <w:sz w:val="20"/>
              </w:rPr>
              <w:t>FEMP O&amp;M Best Practices: A Guide to Achieving Operational Efficiency</w:t>
            </w:r>
          </w:p>
        </w:tc>
        <w:tc>
          <w:tcPr>
            <w:tcW w:w="167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18"/>
              </w:rPr>
            </w:pPr>
          </w:p>
        </w:tc>
        <w:tc>
          <w:tcPr>
            <w:tcW w:w="1260" w:type="dxa"/>
            <w:tcBorders>
              <w:top w:val="single" w:sz="4" w:space="0" w:color="BEBEBE"/>
              <w:left w:val="single" w:sz="4" w:space="0" w:color="BEBEBE"/>
              <w:bottom w:val="single" w:sz="4" w:space="0" w:color="BEBEBE"/>
              <w:right w:val="single" w:sz="4" w:space="0" w:color="BEBEBE"/>
            </w:tcBorders>
          </w:tcPr>
          <w:p>
            <w:pPr>
              <w:pStyle w:val="TableParagraph"/>
              <w:spacing w:before="182"/>
              <w:ind w:right="200"/>
              <w:rPr>
                <w:sz w:val="20"/>
              </w:rPr>
            </w:pPr>
            <w:r>
              <w:rPr>
                <w:w w:val="95"/>
                <w:sz w:val="20"/>
              </w:rPr>
              <w:t>Release </w:t>
            </w:r>
            <w:r>
              <w:rPr>
                <w:sz w:val="20"/>
              </w:rPr>
              <w:t>3.0</w:t>
            </w:r>
          </w:p>
        </w:tc>
        <w:tc>
          <w:tcPr>
            <w:tcW w:w="3594" w:type="dxa"/>
            <w:tcBorders>
              <w:top w:val="single" w:sz="4" w:space="0" w:color="BEBEBE"/>
              <w:left w:val="single" w:sz="4" w:space="0" w:color="BEBEBE"/>
              <w:bottom w:val="single" w:sz="4" w:space="0" w:color="BEBEBE"/>
              <w:right w:val="single" w:sz="4" w:space="0" w:color="BEBEBE"/>
            </w:tcBorders>
          </w:tcPr>
          <w:p>
            <w:pPr>
              <w:pStyle w:val="TableParagraph"/>
              <w:spacing w:before="182"/>
              <w:rPr>
                <w:sz w:val="20"/>
              </w:rPr>
            </w:pPr>
            <w:r>
              <w:rPr>
                <w:sz w:val="20"/>
              </w:rPr>
              <w:t>Provides high level requirements and best practices</w:t>
            </w:r>
          </w:p>
        </w:tc>
      </w:tr>
      <w:tr>
        <w:trPr>
          <w:trHeight w:val="827" w:hRule="atLeast"/>
        </w:trPr>
        <w:tc>
          <w:tcPr>
            <w:tcW w:w="2797" w:type="dxa"/>
            <w:tcBorders>
              <w:top w:val="single" w:sz="4" w:space="0" w:color="BEBEBE"/>
              <w:left w:val="single" w:sz="4" w:space="0" w:color="BEBEBE"/>
              <w:bottom w:val="single" w:sz="4" w:space="0" w:color="BEBEBE"/>
              <w:right w:val="single" w:sz="4" w:space="0" w:color="BEBEBE"/>
            </w:tcBorders>
          </w:tcPr>
          <w:p>
            <w:pPr>
              <w:pStyle w:val="TableParagraph"/>
              <w:spacing w:before="69"/>
              <w:ind w:right="136"/>
              <w:rPr>
                <w:sz w:val="20"/>
              </w:rPr>
            </w:pPr>
            <w:r>
              <w:rPr>
                <w:sz w:val="20"/>
              </w:rPr>
              <w:t>U.S. Department of Homeland Security Metering Plan</w:t>
            </w:r>
          </w:p>
        </w:tc>
        <w:tc>
          <w:tcPr>
            <w:tcW w:w="167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18"/>
              </w:rPr>
            </w:pPr>
          </w:p>
        </w:tc>
        <w:tc>
          <w:tcPr>
            <w:tcW w:w="1260" w:type="dxa"/>
            <w:tcBorders>
              <w:top w:val="single" w:sz="4" w:space="0" w:color="BEBEBE"/>
              <w:left w:val="single" w:sz="4" w:space="0" w:color="BEBEBE"/>
              <w:bottom w:val="single" w:sz="4" w:space="0" w:color="BEBEBE"/>
              <w:right w:val="single" w:sz="4" w:space="0" w:color="BEBEBE"/>
            </w:tcBorders>
          </w:tcPr>
          <w:p>
            <w:pPr>
              <w:pStyle w:val="TableParagraph"/>
              <w:spacing w:before="182"/>
              <w:ind w:right="200"/>
              <w:rPr>
                <w:sz w:val="20"/>
              </w:rPr>
            </w:pPr>
            <w:r>
              <w:rPr>
                <w:sz w:val="20"/>
              </w:rPr>
              <w:t>November 2015</w:t>
            </w:r>
          </w:p>
        </w:tc>
        <w:tc>
          <w:tcPr>
            <w:tcW w:w="3594" w:type="dxa"/>
            <w:tcBorders>
              <w:top w:val="single" w:sz="4" w:space="0" w:color="BEBEBE"/>
              <w:left w:val="single" w:sz="4" w:space="0" w:color="BEBEBE"/>
              <w:bottom w:val="single" w:sz="4" w:space="0" w:color="BEBEBE"/>
              <w:right w:val="single" w:sz="4" w:space="0" w:color="BEBEBE"/>
            </w:tcBorders>
          </w:tcPr>
          <w:p>
            <w:pPr>
              <w:pStyle w:val="TableParagraph"/>
              <w:spacing w:before="9"/>
              <w:ind w:left="0"/>
              <w:rPr>
                <w:b/>
                <w:sz w:val="25"/>
              </w:rPr>
            </w:pPr>
          </w:p>
          <w:p>
            <w:pPr>
              <w:pStyle w:val="TableParagraph"/>
              <w:spacing w:before="0"/>
              <w:rPr>
                <w:sz w:val="20"/>
              </w:rPr>
            </w:pPr>
            <w:r>
              <w:rPr>
                <w:sz w:val="20"/>
              </w:rPr>
              <w:t>Provides high level requirements</w:t>
            </w:r>
          </w:p>
        </w:tc>
      </w:tr>
      <w:tr>
        <w:trPr>
          <w:trHeight w:val="1329" w:hRule="atLeast"/>
        </w:trPr>
        <w:tc>
          <w:tcPr>
            <w:tcW w:w="2797" w:type="dxa"/>
            <w:tcBorders>
              <w:top w:val="single" w:sz="4" w:space="0" w:color="BEBEBE"/>
              <w:left w:val="single" w:sz="4" w:space="0" w:color="BEBEBE"/>
              <w:bottom w:val="single" w:sz="4" w:space="0" w:color="BEBEBE"/>
              <w:right w:val="single" w:sz="4" w:space="0" w:color="BEBEBE"/>
            </w:tcBorders>
          </w:tcPr>
          <w:p>
            <w:pPr>
              <w:pStyle w:val="TableParagraph"/>
              <w:spacing w:before="69"/>
              <w:rPr>
                <w:sz w:val="20"/>
              </w:rPr>
            </w:pPr>
            <w:r>
              <w:rPr>
                <w:sz w:val="20"/>
              </w:rPr>
              <w:t>USDOE Metering Best Practices: A Guide to Achieving Utility Resource Efficiency</w:t>
            </w:r>
          </w:p>
        </w:tc>
        <w:tc>
          <w:tcPr>
            <w:tcW w:w="167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rFonts w:ascii="Times New Roman"/>
                <w:sz w:val="18"/>
              </w:rPr>
            </w:pPr>
          </w:p>
        </w:tc>
        <w:tc>
          <w:tcPr>
            <w:tcW w:w="1260"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b/>
                <w:sz w:val="26"/>
              </w:rPr>
            </w:pPr>
          </w:p>
          <w:p>
            <w:pPr>
              <w:pStyle w:val="TableParagraph"/>
              <w:spacing w:before="0"/>
              <w:rPr>
                <w:sz w:val="20"/>
              </w:rPr>
            </w:pPr>
            <w:r>
              <w:rPr>
                <w:sz w:val="20"/>
              </w:rPr>
              <w:t>2015</w:t>
            </w:r>
          </w:p>
          <w:p>
            <w:pPr>
              <w:pStyle w:val="TableParagraph"/>
              <w:spacing w:before="41"/>
              <w:ind w:right="200"/>
              <w:rPr>
                <w:sz w:val="20"/>
              </w:rPr>
            </w:pPr>
            <w:r>
              <w:rPr>
                <w:w w:val="95"/>
                <w:sz w:val="20"/>
              </w:rPr>
              <w:t>Release </w:t>
            </w:r>
            <w:r>
              <w:rPr>
                <w:sz w:val="20"/>
              </w:rPr>
              <w:t>3.0</w:t>
            </w:r>
          </w:p>
        </w:tc>
        <w:tc>
          <w:tcPr>
            <w:tcW w:w="3594"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b/>
                <w:sz w:val="22"/>
              </w:rPr>
            </w:pPr>
          </w:p>
          <w:p>
            <w:pPr>
              <w:pStyle w:val="TableParagraph"/>
              <w:spacing w:before="181"/>
              <w:rPr>
                <w:sz w:val="20"/>
              </w:rPr>
            </w:pPr>
            <w:r>
              <w:rPr>
                <w:sz w:val="20"/>
              </w:rPr>
              <w:t>Provides high level requirements and best practices</w:t>
            </w:r>
          </w:p>
        </w:tc>
      </w:tr>
    </w:tbl>
    <w:p>
      <w:pPr>
        <w:pStyle w:val="BodyText"/>
        <w:rPr>
          <w:b/>
          <w:sz w:val="20"/>
        </w:rPr>
      </w:pPr>
    </w:p>
    <w:p>
      <w:pPr>
        <w:spacing w:before="175"/>
        <w:ind w:left="31" w:right="207" w:firstLine="0"/>
        <w:jc w:val="center"/>
        <w:rPr>
          <w:b/>
          <w:sz w:val="18"/>
        </w:rPr>
      </w:pPr>
      <w:r>
        <w:rPr>
          <w:b/>
          <w:sz w:val="18"/>
        </w:rPr>
        <w:t>Table 5-3: Technical Publications</w:t>
      </w:r>
    </w:p>
    <w:p>
      <w:pPr>
        <w:pStyle w:val="BodyText"/>
        <w:spacing w:before="10"/>
        <w:rPr>
          <w:b/>
          <w:sz w:val="5"/>
        </w:rPr>
      </w:pPr>
    </w:p>
    <w:tbl>
      <w:tblPr>
        <w:tblW w:w="0" w:type="auto"/>
        <w:jc w:val="left"/>
        <w:tblInd w:w="78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0" w:type="dxa"/>
          <w:left w:w="0" w:type="dxa"/>
          <w:bottom w:w="0" w:type="dxa"/>
          <w:right w:w="0" w:type="dxa"/>
        </w:tblCellMar>
        <w:tblLook w:val="01E0"/>
      </w:tblPr>
      <w:tblGrid>
        <w:gridCol w:w="2797"/>
        <w:gridCol w:w="1678"/>
        <w:gridCol w:w="1260"/>
        <w:gridCol w:w="3594"/>
      </w:tblGrid>
      <w:tr>
        <w:trPr>
          <w:trHeight w:val="367" w:hRule="atLeast"/>
        </w:trPr>
        <w:tc>
          <w:tcPr>
            <w:tcW w:w="2797" w:type="dxa"/>
            <w:tcBorders>
              <w:right w:val="single" w:sz="4" w:space="0" w:color="A6A6A6"/>
            </w:tcBorders>
            <w:shd w:val="clear" w:color="auto" w:fill="D9D9D9"/>
          </w:tcPr>
          <w:p>
            <w:pPr>
              <w:pStyle w:val="TableParagraph"/>
              <w:spacing w:before="64"/>
              <w:ind w:left="110"/>
              <w:rPr>
                <w:b/>
                <w:sz w:val="20"/>
              </w:rPr>
            </w:pPr>
            <w:r>
              <w:rPr>
                <w:b/>
                <w:sz w:val="20"/>
              </w:rPr>
              <w:t>Document Name</w:t>
            </w:r>
          </w:p>
        </w:tc>
        <w:tc>
          <w:tcPr>
            <w:tcW w:w="1678" w:type="dxa"/>
            <w:tcBorders>
              <w:left w:val="single" w:sz="4" w:space="0" w:color="A6A6A6"/>
              <w:right w:val="single" w:sz="4" w:space="0" w:color="A6A6A6"/>
            </w:tcBorders>
            <w:shd w:val="clear" w:color="auto" w:fill="D9D9D9"/>
          </w:tcPr>
          <w:p>
            <w:pPr>
              <w:pStyle w:val="TableParagraph"/>
              <w:spacing w:before="64"/>
              <w:ind w:left="114"/>
              <w:rPr>
                <w:b/>
                <w:sz w:val="20"/>
              </w:rPr>
            </w:pPr>
            <w:r>
              <w:rPr>
                <w:b/>
                <w:sz w:val="20"/>
              </w:rPr>
              <w:t>Document No.</w:t>
            </w:r>
          </w:p>
        </w:tc>
        <w:tc>
          <w:tcPr>
            <w:tcW w:w="1260" w:type="dxa"/>
            <w:tcBorders>
              <w:left w:val="single" w:sz="4" w:space="0" w:color="A6A6A6"/>
              <w:right w:val="single" w:sz="4" w:space="0" w:color="A6A6A6"/>
            </w:tcBorders>
            <w:shd w:val="clear" w:color="auto" w:fill="D9D9D9"/>
          </w:tcPr>
          <w:p>
            <w:pPr>
              <w:pStyle w:val="TableParagraph"/>
              <w:spacing w:before="64"/>
              <w:rPr>
                <w:b/>
                <w:sz w:val="20"/>
              </w:rPr>
            </w:pPr>
            <w:r>
              <w:rPr>
                <w:b/>
                <w:sz w:val="20"/>
              </w:rPr>
              <w:t>Rev / Date</w:t>
            </w:r>
          </w:p>
        </w:tc>
        <w:tc>
          <w:tcPr>
            <w:tcW w:w="3594" w:type="dxa"/>
            <w:tcBorders>
              <w:left w:val="single" w:sz="4" w:space="0" w:color="A6A6A6"/>
              <w:right w:val="single" w:sz="4" w:space="0" w:color="A6A6A6"/>
            </w:tcBorders>
            <w:shd w:val="clear" w:color="auto" w:fill="D9D9D9"/>
          </w:tcPr>
          <w:p>
            <w:pPr>
              <w:pStyle w:val="TableParagraph"/>
              <w:spacing w:before="64"/>
              <w:rPr>
                <w:b/>
                <w:sz w:val="20"/>
              </w:rPr>
            </w:pPr>
            <w:r>
              <w:rPr>
                <w:b/>
                <w:sz w:val="20"/>
              </w:rPr>
              <w:t>Purpose</w:t>
            </w:r>
          </w:p>
        </w:tc>
      </w:tr>
      <w:tr>
        <w:trPr>
          <w:trHeight w:val="1137" w:hRule="atLeast"/>
        </w:trPr>
        <w:tc>
          <w:tcPr>
            <w:tcW w:w="2797" w:type="dxa"/>
            <w:tcBorders>
              <w:left w:val="single" w:sz="4" w:space="0" w:color="BEBEBE"/>
              <w:bottom w:val="single" w:sz="4" w:space="0" w:color="BEBEBE"/>
              <w:right w:val="single" w:sz="4" w:space="0" w:color="BEBEBE"/>
            </w:tcBorders>
          </w:tcPr>
          <w:p>
            <w:pPr>
              <w:pStyle w:val="TableParagraph"/>
              <w:spacing w:line="261" w:lineRule="auto" w:before="66"/>
              <w:ind w:right="1068"/>
              <w:jc w:val="both"/>
              <w:rPr>
                <w:sz w:val="20"/>
              </w:rPr>
            </w:pPr>
            <w:r>
              <w:rPr>
                <w:sz w:val="20"/>
              </w:rPr>
              <w:t>AcquiSuite – Data Acquisition Server Obvius, LLC</w:t>
            </w:r>
          </w:p>
          <w:p>
            <w:pPr>
              <w:pStyle w:val="TableParagraph"/>
              <w:spacing w:before="19"/>
              <w:jc w:val="both"/>
              <w:rPr>
                <w:sz w:val="20"/>
              </w:rPr>
            </w:pPr>
            <w:hyperlink r:id="rId38">
              <w:r>
                <w:rPr>
                  <w:color w:val="0000FF"/>
                  <w:sz w:val="20"/>
                  <w:u w:val="single" w:color="0000FF"/>
                </w:rPr>
                <w:t>www.obvius.com</w:t>
              </w:r>
            </w:hyperlink>
          </w:p>
        </w:tc>
        <w:tc>
          <w:tcPr>
            <w:tcW w:w="1678" w:type="dxa"/>
            <w:tcBorders>
              <w:left w:val="single" w:sz="4" w:space="0" w:color="BEBEBE"/>
              <w:bottom w:val="single" w:sz="4" w:space="0" w:color="BEBEBE"/>
              <w:right w:val="single" w:sz="4" w:space="0" w:color="BEBEBE"/>
            </w:tcBorders>
          </w:tcPr>
          <w:p>
            <w:pPr>
              <w:pStyle w:val="TableParagraph"/>
              <w:spacing w:before="0"/>
              <w:ind w:left="0"/>
              <w:rPr>
                <w:b/>
                <w:sz w:val="22"/>
              </w:rPr>
            </w:pPr>
          </w:p>
          <w:p>
            <w:pPr>
              <w:pStyle w:val="TableParagraph"/>
              <w:spacing w:before="4"/>
              <w:ind w:left="0"/>
              <w:rPr>
                <w:b/>
                <w:sz w:val="17"/>
              </w:rPr>
            </w:pPr>
          </w:p>
          <w:p>
            <w:pPr>
              <w:pStyle w:val="TableParagraph"/>
              <w:spacing w:before="0"/>
              <w:ind w:left="114"/>
              <w:rPr>
                <w:sz w:val="20"/>
              </w:rPr>
            </w:pPr>
            <w:r>
              <w:rPr>
                <w:sz w:val="20"/>
              </w:rPr>
              <w:t>Model A8812</w:t>
            </w:r>
          </w:p>
        </w:tc>
        <w:tc>
          <w:tcPr>
            <w:tcW w:w="1260" w:type="dxa"/>
            <w:tcBorders>
              <w:left w:val="single" w:sz="4" w:space="0" w:color="BEBEBE"/>
              <w:bottom w:val="single" w:sz="4" w:space="0" w:color="BEBEBE"/>
              <w:right w:val="single" w:sz="4" w:space="0" w:color="BEBEBE"/>
            </w:tcBorders>
          </w:tcPr>
          <w:p>
            <w:pPr>
              <w:pStyle w:val="TableParagraph"/>
              <w:spacing w:before="4"/>
              <w:ind w:left="0"/>
              <w:rPr>
                <w:b/>
                <w:sz w:val="29"/>
              </w:rPr>
            </w:pPr>
          </w:p>
          <w:p>
            <w:pPr>
              <w:pStyle w:val="TableParagraph"/>
              <w:spacing w:line="229" w:lineRule="exact" w:before="0"/>
              <w:rPr>
                <w:sz w:val="20"/>
              </w:rPr>
            </w:pPr>
            <w:r>
              <w:rPr>
                <w:sz w:val="20"/>
              </w:rPr>
              <w:t>Aug 16,</w:t>
            </w:r>
          </w:p>
          <w:p>
            <w:pPr>
              <w:pStyle w:val="TableParagraph"/>
              <w:spacing w:line="229" w:lineRule="exact" w:before="0"/>
              <w:rPr>
                <w:sz w:val="20"/>
              </w:rPr>
            </w:pPr>
            <w:r>
              <w:rPr>
                <w:sz w:val="20"/>
              </w:rPr>
              <w:t>2011</w:t>
            </w:r>
          </w:p>
        </w:tc>
        <w:tc>
          <w:tcPr>
            <w:tcW w:w="3594" w:type="dxa"/>
            <w:tcBorders>
              <w:left w:val="single" w:sz="4" w:space="0" w:color="BEBEBE"/>
              <w:bottom w:val="single" w:sz="4" w:space="0" w:color="BEBEBE"/>
              <w:right w:val="single" w:sz="4" w:space="0" w:color="BEBEBE"/>
            </w:tcBorders>
          </w:tcPr>
          <w:p>
            <w:pPr>
              <w:pStyle w:val="TableParagraph"/>
              <w:spacing w:before="0"/>
              <w:ind w:left="0"/>
              <w:rPr>
                <w:b/>
                <w:sz w:val="22"/>
              </w:rPr>
            </w:pPr>
          </w:p>
          <w:p>
            <w:pPr>
              <w:pStyle w:val="TableParagraph"/>
              <w:spacing w:before="4"/>
              <w:ind w:left="0"/>
              <w:rPr>
                <w:b/>
                <w:sz w:val="17"/>
              </w:rPr>
            </w:pPr>
          </w:p>
          <w:p>
            <w:pPr>
              <w:pStyle w:val="TableParagraph"/>
              <w:spacing w:before="0"/>
              <w:rPr>
                <w:sz w:val="20"/>
              </w:rPr>
            </w:pPr>
            <w:r>
              <w:rPr>
                <w:sz w:val="20"/>
              </w:rPr>
              <w:t>Installation and Operation Manual</w:t>
            </w:r>
          </w:p>
        </w:tc>
      </w:tr>
      <w:tr>
        <w:trPr>
          <w:trHeight w:val="1137" w:hRule="atLeast"/>
        </w:trPr>
        <w:tc>
          <w:tcPr>
            <w:tcW w:w="2797" w:type="dxa"/>
            <w:tcBorders>
              <w:top w:val="single" w:sz="4" w:space="0" w:color="BEBEBE"/>
              <w:left w:val="single" w:sz="4" w:space="0" w:color="BEBEBE"/>
              <w:bottom w:val="single" w:sz="4" w:space="0" w:color="BEBEBE"/>
              <w:right w:val="single" w:sz="4" w:space="0" w:color="BEBEBE"/>
            </w:tcBorders>
          </w:tcPr>
          <w:p>
            <w:pPr>
              <w:pStyle w:val="TableParagraph"/>
              <w:spacing w:line="261" w:lineRule="auto" w:before="66"/>
              <w:rPr>
                <w:sz w:val="20"/>
              </w:rPr>
            </w:pPr>
            <w:r>
              <w:rPr>
                <w:sz w:val="20"/>
              </w:rPr>
              <w:t>Modhopper – Wireless ModBus/Pulse Transceiver Obvius, LLC</w:t>
            </w:r>
          </w:p>
          <w:p>
            <w:pPr>
              <w:pStyle w:val="TableParagraph"/>
              <w:spacing w:before="19"/>
              <w:rPr>
                <w:sz w:val="20"/>
              </w:rPr>
            </w:pPr>
            <w:hyperlink r:id="rId38">
              <w:r>
                <w:rPr>
                  <w:color w:val="0000FF"/>
                  <w:sz w:val="20"/>
                  <w:u w:val="single" w:color="0000FF"/>
                </w:rPr>
                <w:t>www.obvius.com</w:t>
              </w:r>
            </w:hyperlink>
          </w:p>
        </w:tc>
        <w:tc>
          <w:tcPr>
            <w:tcW w:w="167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b/>
                <w:sz w:val="22"/>
              </w:rPr>
            </w:pPr>
          </w:p>
          <w:p>
            <w:pPr>
              <w:pStyle w:val="TableParagraph"/>
              <w:spacing w:before="4"/>
              <w:ind w:left="0"/>
              <w:rPr>
                <w:b/>
                <w:sz w:val="17"/>
              </w:rPr>
            </w:pPr>
          </w:p>
          <w:p>
            <w:pPr>
              <w:pStyle w:val="TableParagraph"/>
              <w:spacing w:before="0"/>
              <w:ind w:left="114"/>
              <w:rPr>
                <w:sz w:val="20"/>
              </w:rPr>
            </w:pPr>
            <w:r>
              <w:rPr>
                <w:sz w:val="20"/>
              </w:rPr>
              <w:t>Model R9120</w:t>
            </w:r>
          </w:p>
        </w:tc>
        <w:tc>
          <w:tcPr>
            <w:tcW w:w="1260" w:type="dxa"/>
            <w:tcBorders>
              <w:top w:val="single" w:sz="4" w:space="0" w:color="BEBEBE"/>
              <w:left w:val="single" w:sz="4" w:space="0" w:color="BEBEBE"/>
              <w:bottom w:val="single" w:sz="4" w:space="0" w:color="BEBEBE"/>
              <w:right w:val="single" w:sz="4" w:space="0" w:color="BEBEBE"/>
            </w:tcBorders>
          </w:tcPr>
          <w:p>
            <w:pPr>
              <w:pStyle w:val="TableParagraph"/>
              <w:spacing w:before="4"/>
              <w:ind w:left="0"/>
              <w:rPr>
                <w:b/>
                <w:sz w:val="19"/>
              </w:rPr>
            </w:pPr>
          </w:p>
          <w:p>
            <w:pPr>
              <w:pStyle w:val="TableParagraph"/>
              <w:spacing w:before="0"/>
              <w:ind w:right="511"/>
              <w:rPr>
                <w:sz w:val="20"/>
              </w:rPr>
            </w:pPr>
            <w:r>
              <w:rPr>
                <w:sz w:val="20"/>
              </w:rPr>
              <w:t>Rev C/ Apr 04</w:t>
            </w:r>
          </w:p>
          <w:p>
            <w:pPr>
              <w:pStyle w:val="TableParagraph"/>
              <w:spacing w:line="228" w:lineRule="exact" w:before="0"/>
              <w:rPr>
                <w:sz w:val="20"/>
              </w:rPr>
            </w:pPr>
            <w:r>
              <w:rPr>
                <w:sz w:val="20"/>
              </w:rPr>
              <w:t>2016</w:t>
            </w:r>
          </w:p>
        </w:tc>
        <w:tc>
          <w:tcPr>
            <w:tcW w:w="3594"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b/>
                <w:sz w:val="22"/>
              </w:rPr>
            </w:pPr>
          </w:p>
          <w:p>
            <w:pPr>
              <w:pStyle w:val="TableParagraph"/>
              <w:spacing w:before="4"/>
              <w:ind w:left="0"/>
              <w:rPr>
                <w:b/>
                <w:sz w:val="17"/>
              </w:rPr>
            </w:pPr>
          </w:p>
          <w:p>
            <w:pPr>
              <w:pStyle w:val="TableParagraph"/>
              <w:spacing w:before="0"/>
              <w:rPr>
                <w:sz w:val="20"/>
              </w:rPr>
            </w:pPr>
            <w:r>
              <w:rPr>
                <w:sz w:val="20"/>
              </w:rPr>
              <w:t>Installation and Operation Manual</w:t>
            </w:r>
          </w:p>
        </w:tc>
      </w:tr>
      <w:tr>
        <w:trPr>
          <w:trHeight w:val="1140" w:hRule="atLeast"/>
        </w:trPr>
        <w:tc>
          <w:tcPr>
            <w:tcW w:w="2797" w:type="dxa"/>
            <w:tcBorders>
              <w:top w:val="single" w:sz="4" w:space="0" w:color="BEBEBE"/>
              <w:left w:val="single" w:sz="4" w:space="0" w:color="BEBEBE"/>
              <w:bottom w:val="single" w:sz="4" w:space="0" w:color="BEBEBE"/>
              <w:right w:val="single" w:sz="4" w:space="0" w:color="BEBEBE"/>
            </w:tcBorders>
          </w:tcPr>
          <w:p>
            <w:pPr>
              <w:pStyle w:val="TableParagraph"/>
              <w:spacing w:before="69"/>
              <w:rPr>
                <w:sz w:val="20"/>
              </w:rPr>
            </w:pPr>
            <w:r>
              <w:rPr>
                <w:sz w:val="20"/>
              </w:rPr>
              <w:t>Security Best Practices for AcquiSuite</w:t>
            </w:r>
          </w:p>
          <w:p>
            <w:pPr>
              <w:pStyle w:val="TableParagraph"/>
              <w:spacing w:line="280" w:lineRule="auto" w:before="39"/>
              <w:ind w:right="369"/>
              <w:rPr>
                <w:sz w:val="20"/>
              </w:rPr>
            </w:pPr>
            <w:r>
              <w:rPr>
                <w:sz w:val="20"/>
              </w:rPr>
              <w:t>Obvius, LLC </w:t>
            </w:r>
            <w:hyperlink r:id="rId38">
              <w:r>
                <w:rPr>
                  <w:color w:val="0000FF"/>
                  <w:w w:val="95"/>
                  <w:sz w:val="20"/>
                  <w:u w:val="single" w:color="0000FF"/>
                </w:rPr>
                <w:t>www.obvius.com</w:t>
              </w:r>
            </w:hyperlink>
          </w:p>
        </w:tc>
        <w:tc>
          <w:tcPr>
            <w:tcW w:w="1678"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b/>
                <w:sz w:val="22"/>
              </w:rPr>
            </w:pPr>
          </w:p>
          <w:p>
            <w:pPr>
              <w:pStyle w:val="TableParagraph"/>
              <w:spacing w:before="4"/>
              <w:ind w:left="0"/>
              <w:rPr>
                <w:b/>
                <w:sz w:val="17"/>
              </w:rPr>
            </w:pPr>
          </w:p>
          <w:p>
            <w:pPr>
              <w:pStyle w:val="TableParagraph"/>
              <w:spacing w:before="0"/>
              <w:ind w:left="114"/>
              <w:rPr>
                <w:sz w:val="20"/>
              </w:rPr>
            </w:pPr>
            <w:r>
              <w:rPr>
                <w:sz w:val="20"/>
              </w:rPr>
              <w:t>Technote 88</w:t>
            </w:r>
          </w:p>
        </w:tc>
        <w:tc>
          <w:tcPr>
            <w:tcW w:w="1260" w:type="dxa"/>
            <w:tcBorders>
              <w:top w:val="single" w:sz="4" w:space="0" w:color="BEBEBE"/>
              <w:left w:val="single" w:sz="4" w:space="0" w:color="BEBEBE"/>
              <w:bottom w:val="single" w:sz="4" w:space="0" w:color="BEBEBE"/>
              <w:right w:val="single" w:sz="4" w:space="0" w:color="BEBEBE"/>
            </w:tcBorders>
          </w:tcPr>
          <w:p>
            <w:pPr>
              <w:pStyle w:val="TableParagraph"/>
              <w:spacing w:before="4"/>
              <w:ind w:left="0"/>
              <w:rPr>
                <w:b/>
                <w:sz w:val="29"/>
              </w:rPr>
            </w:pPr>
          </w:p>
          <w:p>
            <w:pPr>
              <w:pStyle w:val="TableParagraph"/>
              <w:spacing w:before="0"/>
              <w:rPr>
                <w:sz w:val="20"/>
              </w:rPr>
            </w:pPr>
            <w:r>
              <w:rPr>
                <w:sz w:val="20"/>
              </w:rPr>
              <w:t>Oct 11,</w:t>
            </w:r>
          </w:p>
          <w:p>
            <w:pPr>
              <w:pStyle w:val="TableParagraph"/>
              <w:spacing w:before="0"/>
              <w:rPr>
                <w:sz w:val="20"/>
              </w:rPr>
            </w:pPr>
            <w:r>
              <w:rPr>
                <w:sz w:val="20"/>
              </w:rPr>
              <w:t>2016</w:t>
            </w:r>
          </w:p>
        </w:tc>
        <w:tc>
          <w:tcPr>
            <w:tcW w:w="3594" w:type="dxa"/>
            <w:tcBorders>
              <w:top w:val="single" w:sz="4" w:space="0" w:color="BEBEBE"/>
              <w:left w:val="single" w:sz="4" w:space="0" w:color="BEBEBE"/>
              <w:bottom w:val="single" w:sz="4" w:space="0" w:color="BEBEBE"/>
              <w:right w:val="single" w:sz="4" w:space="0" w:color="BEBEBE"/>
            </w:tcBorders>
          </w:tcPr>
          <w:p>
            <w:pPr>
              <w:pStyle w:val="TableParagraph"/>
              <w:spacing w:before="0"/>
              <w:ind w:left="0"/>
              <w:rPr>
                <w:b/>
                <w:sz w:val="22"/>
              </w:rPr>
            </w:pPr>
          </w:p>
          <w:p>
            <w:pPr>
              <w:pStyle w:val="TableParagraph"/>
              <w:spacing w:before="4"/>
              <w:ind w:left="0"/>
              <w:rPr>
                <w:b/>
                <w:sz w:val="17"/>
              </w:rPr>
            </w:pPr>
          </w:p>
          <w:p>
            <w:pPr>
              <w:pStyle w:val="TableParagraph"/>
              <w:spacing w:before="0"/>
              <w:rPr>
                <w:sz w:val="20"/>
              </w:rPr>
            </w:pPr>
            <w:r>
              <w:rPr>
                <w:sz w:val="20"/>
              </w:rPr>
              <w:t>Best Practice Guide</w:t>
            </w:r>
          </w:p>
        </w:tc>
      </w:tr>
    </w:tbl>
    <w:p>
      <w:pPr>
        <w:spacing w:after="0"/>
        <w:rPr>
          <w:sz w:val="20"/>
        </w:rPr>
        <w:sectPr>
          <w:pgSz w:w="12240" w:h="15840"/>
          <w:pgMar w:header="724" w:footer="1020" w:top="1220" w:bottom="1220" w:left="860" w:right="680"/>
        </w:sectPr>
      </w:pPr>
    </w:p>
    <w:p>
      <w:pPr>
        <w:pStyle w:val="BodyText"/>
        <w:spacing w:before="3"/>
        <w:rPr>
          <w:b/>
          <w:sz w:val="10"/>
        </w:rPr>
      </w:pPr>
    </w:p>
    <w:p>
      <w:pPr>
        <w:pStyle w:val="ListParagraph"/>
        <w:numPr>
          <w:ilvl w:val="2"/>
          <w:numId w:val="20"/>
        </w:numPr>
        <w:tabs>
          <w:tab w:pos="1133" w:val="left" w:leader="none"/>
        </w:tabs>
        <w:spacing w:line="240" w:lineRule="auto" w:before="94" w:after="0"/>
        <w:ind w:left="1132" w:right="0" w:hanging="552"/>
        <w:jc w:val="left"/>
        <w:rPr>
          <w:b/>
          <w:sz w:val="22"/>
        </w:rPr>
      </w:pPr>
      <w:bookmarkStart w:name="_bookmark41" w:id="74"/>
      <w:bookmarkEnd w:id="74"/>
      <w:r>
        <w:rPr/>
      </w:r>
      <w:bookmarkStart w:name="_bookmark41" w:id="75"/>
      <w:bookmarkEnd w:id="75"/>
      <w:r>
        <w:rPr>
          <w:b/>
          <w:sz w:val="22"/>
        </w:rPr>
        <w:t>S</w:t>
      </w:r>
      <w:r>
        <w:rPr>
          <w:b/>
          <w:sz w:val="22"/>
        </w:rPr>
        <w:t>upporting</w:t>
      </w:r>
      <w:r>
        <w:rPr>
          <w:b/>
          <w:spacing w:val="-1"/>
          <w:sz w:val="22"/>
        </w:rPr>
        <w:t> </w:t>
      </w:r>
      <w:r>
        <w:rPr>
          <w:b/>
          <w:sz w:val="22"/>
        </w:rPr>
        <w:t>Documents</w:t>
      </w:r>
    </w:p>
    <w:p>
      <w:pPr>
        <w:pStyle w:val="BodyText"/>
        <w:rPr>
          <w:b/>
          <w:sz w:val="24"/>
        </w:rPr>
      </w:pPr>
    </w:p>
    <w:p>
      <w:pPr>
        <w:pStyle w:val="BodyText"/>
        <w:spacing w:before="7"/>
        <w:rPr>
          <w:b/>
          <w:sz w:val="25"/>
        </w:rPr>
      </w:pPr>
    </w:p>
    <w:p>
      <w:pPr>
        <w:pStyle w:val="ListParagraph"/>
        <w:numPr>
          <w:ilvl w:val="3"/>
          <w:numId w:val="20"/>
        </w:numPr>
        <w:tabs>
          <w:tab w:pos="1301" w:val="left" w:leader="none"/>
        </w:tabs>
        <w:spacing w:line="278" w:lineRule="auto" w:before="0" w:after="0"/>
        <w:ind w:left="1300" w:right="1338" w:hanging="360"/>
        <w:jc w:val="left"/>
        <w:rPr>
          <w:sz w:val="22"/>
        </w:rPr>
      </w:pPr>
      <w:r>
        <w:rPr>
          <w:sz w:val="22"/>
        </w:rPr>
        <w:t>American National Standards Institute / American Society of Mechanical Engineers (ANSI/ASME) B31.8, 2016, Gas Transmission and Distribution Piping</w:t>
      </w:r>
      <w:r>
        <w:rPr>
          <w:spacing w:val="-15"/>
          <w:sz w:val="22"/>
        </w:rPr>
        <w:t> </w:t>
      </w:r>
      <w:r>
        <w:rPr>
          <w:sz w:val="22"/>
        </w:rPr>
        <w:t>Systems</w:t>
      </w:r>
    </w:p>
    <w:p>
      <w:pPr>
        <w:pStyle w:val="ListParagraph"/>
        <w:numPr>
          <w:ilvl w:val="3"/>
          <w:numId w:val="20"/>
        </w:numPr>
        <w:tabs>
          <w:tab w:pos="1301" w:val="left" w:leader="none"/>
        </w:tabs>
        <w:spacing w:line="276" w:lineRule="auto" w:before="117" w:after="0"/>
        <w:ind w:left="1300" w:right="1447" w:hanging="360"/>
        <w:jc w:val="left"/>
        <w:rPr>
          <w:sz w:val="22"/>
        </w:rPr>
      </w:pPr>
      <w:r>
        <w:rPr>
          <w:sz w:val="22"/>
        </w:rPr>
        <w:t>Coast Guard Commandant Instruction  (COMDTINST)  M5500.13E,  August 2015,</w:t>
      </w:r>
    </w:p>
    <w:p>
      <w:pPr>
        <w:pStyle w:val="ListParagraph"/>
        <w:numPr>
          <w:ilvl w:val="3"/>
          <w:numId w:val="20"/>
        </w:numPr>
        <w:tabs>
          <w:tab w:pos="1301" w:val="left" w:leader="none"/>
        </w:tabs>
        <w:spacing w:line="240" w:lineRule="auto" w:before="119" w:after="0"/>
        <w:ind w:left="1300" w:right="0" w:hanging="360"/>
        <w:jc w:val="left"/>
        <w:rPr>
          <w:sz w:val="22"/>
        </w:rPr>
      </w:pPr>
      <w:r>
        <w:rPr>
          <w:sz w:val="22"/>
        </w:rPr>
        <w:t>Cybersecurity</w:t>
      </w:r>
      <w:r>
        <w:rPr>
          <w:spacing w:val="-3"/>
          <w:sz w:val="22"/>
        </w:rPr>
        <w:t> </w:t>
      </w:r>
      <w:r>
        <w:rPr>
          <w:sz w:val="22"/>
        </w:rPr>
        <w:t>Manual</w:t>
      </w:r>
    </w:p>
    <w:p>
      <w:pPr>
        <w:pStyle w:val="ListParagraph"/>
        <w:numPr>
          <w:ilvl w:val="3"/>
          <w:numId w:val="20"/>
        </w:numPr>
        <w:tabs>
          <w:tab w:pos="1301" w:val="left" w:leader="none"/>
        </w:tabs>
        <w:spacing w:line="276" w:lineRule="auto" w:before="121" w:after="0"/>
        <w:ind w:left="1300" w:right="828" w:hanging="360"/>
        <w:jc w:val="left"/>
        <w:rPr>
          <w:sz w:val="22"/>
        </w:rPr>
      </w:pPr>
      <w:r>
        <w:rPr>
          <w:sz w:val="22"/>
        </w:rPr>
        <w:t>Institute of Electrical and Electronics Engineers (IEEE) C37.90.1, 2012, Standard for Surge Withstand Capability (SWC) Tests for Relays and Relay Systems Associated</w:t>
      </w:r>
      <w:r>
        <w:rPr>
          <w:spacing w:val="-27"/>
          <w:sz w:val="22"/>
        </w:rPr>
        <w:t> </w:t>
      </w:r>
      <w:r>
        <w:rPr>
          <w:sz w:val="22"/>
        </w:rPr>
        <w:t>with Electric Power</w:t>
      </w:r>
      <w:r>
        <w:rPr>
          <w:spacing w:val="1"/>
          <w:sz w:val="22"/>
        </w:rPr>
        <w:t> </w:t>
      </w:r>
      <w:r>
        <w:rPr>
          <w:sz w:val="22"/>
        </w:rPr>
        <w:t>Apparatus</w:t>
      </w:r>
    </w:p>
    <w:p>
      <w:pPr>
        <w:pStyle w:val="ListParagraph"/>
        <w:numPr>
          <w:ilvl w:val="3"/>
          <w:numId w:val="20"/>
        </w:numPr>
        <w:tabs>
          <w:tab w:pos="1301" w:val="left" w:leader="none"/>
        </w:tabs>
        <w:spacing w:line="278" w:lineRule="auto" w:before="119" w:after="0"/>
        <w:ind w:left="1300" w:right="756" w:hanging="360"/>
        <w:jc w:val="left"/>
        <w:rPr>
          <w:sz w:val="22"/>
        </w:rPr>
      </w:pPr>
      <w:r>
        <w:rPr>
          <w:sz w:val="22"/>
        </w:rPr>
        <w:t>Institute of Electrical and Electronics Engineers (IEEE) 1100-2005, 2006, Recommended Practice for Powering and Grounding Electronic Equipment</w:t>
      </w:r>
      <w:r>
        <w:rPr>
          <w:spacing w:val="-4"/>
          <w:sz w:val="22"/>
        </w:rPr>
        <w:t> </w:t>
      </w:r>
      <w:r>
        <w:rPr>
          <w:sz w:val="22"/>
        </w:rPr>
        <w:t>(ANSI)</w:t>
      </w:r>
    </w:p>
    <w:p>
      <w:pPr>
        <w:pStyle w:val="ListParagraph"/>
        <w:numPr>
          <w:ilvl w:val="3"/>
          <w:numId w:val="20"/>
        </w:numPr>
        <w:tabs>
          <w:tab w:pos="1301" w:val="left" w:leader="none"/>
        </w:tabs>
        <w:spacing w:line="276" w:lineRule="auto" w:before="116" w:after="0"/>
        <w:ind w:left="1300" w:right="934" w:hanging="360"/>
        <w:jc w:val="left"/>
        <w:rPr>
          <w:sz w:val="22"/>
        </w:rPr>
      </w:pPr>
      <w:r>
        <w:rPr>
          <w:sz w:val="22"/>
        </w:rPr>
        <w:t>National Institute of Standards and Technology’s (NIST) Special Publication (SP) 800- 171, “Protecting Controlled Unclassified Information in Nonfederal Information Systems and</w:t>
      </w:r>
      <w:r>
        <w:rPr>
          <w:spacing w:val="-1"/>
          <w:sz w:val="22"/>
        </w:rPr>
        <w:t> </w:t>
      </w:r>
      <w:r>
        <w:rPr>
          <w:sz w:val="22"/>
        </w:rPr>
        <w:t>Organization</w:t>
      </w:r>
    </w:p>
    <w:p>
      <w:pPr>
        <w:spacing w:after="0" w:line="276" w:lineRule="auto"/>
        <w:jc w:val="left"/>
        <w:rPr>
          <w:sz w:val="22"/>
        </w:rPr>
        <w:sectPr>
          <w:pgSz w:w="12240" w:h="15840"/>
          <w:pgMar w:header="724" w:footer="1020" w:top="1220" w:bottom="1220" w:left="860" w:right="680"/>
        </w:sectPr>
      </w:pPr>
    </w:p>
    <w:p>
      <w:pPr>
        <w:pStyle w:val="BodyText"/>
        <w:spacing w:before="10"/>
        <w:rPr>
          <w:sz w:val="18"/>
        </w:rPr>
      </w:pP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Heading1"/>
        <w:numPr>
          <w:ilvl w:val="0"/>
          <w:numId w:val="20"/>
        </w:numPr>
        <w:tabs>
          <w:tab w:pos="1012" w:val="left" w:leader="none"/>
          <w:tab w:pos="1013" w:val="left" w:leader="none"/>
        </w:tabs>
        <w:spacing w:line="240" w:lineRule="auto" w:before="8" w:after="22"/>
        <w:ind w:left="1012" w:right="0" w:hanging="432"/>
        <w:jc w:val="left"/>
      </w:pPr>
      <w:r>
        <w:rPr/>
        <w:t>DEFINITIONS</w:t>
      </w:r>
    </w:p>
    <w:p>
      <w:pPr>
        <w:pStyle w:val="BodyText"/>
        <w:spacing w:line="20" w:lineRule="exact"/>
        <w:ind w:left="546"/>
        <w:rPr>
          <w:sz w:val="2"/>
        </w:rPr>
      </w:pPr>
      <w:r>
        <w:rPr>
          <w:sz w:val="2"/>
        </w:rPr>
        <w:pict>
          <v:group style="width:471pt;height:.5pt;mso-position-horizontal-relative:char;mso-position-vertical-relative:line" coordorigin="0,0" coordsize="9420,10">
            <v:line style="position:absolute" from="0,5" to="9420,5" stroked="true" strokeweight=".48pt" strokecolor="#808080">
              <v:stroke dashstyle="solid"/>
            </v:line>
          </v:group>
        </w:pict>
      </w:r>
      <w:r>
        <w:rPr>
          <w:sz w:val="2"/>
        </w:rPr>
      </w:r>
    </w:p>
    <w:p>
      <w:pPr>
        <w:pStyle w:val="BodyText"/>
        <w:spacing w:before="7"/>
        <w:rPr>
          <w:b/>
          <w:sz w:val="11"/>
        </w:rPr>
      </w:pPr>
    </w:p>
    <w:p>
      <w:pPr>
        <w:pStyle w:val="BodyText"/>
        <w:spacing w:line="276" w:lineRule="auto" w:before="94"/>
        <w:ind w:left="580" w:right="830"/>
        <w:jc w:val="both"/>
      </w:pPr>
      <w:r>
        <w:rPr/>
        <w:t>See the Shore Infrastructure Lexicon for common glossary terms. </w:t>
      </w:r>
      <w:hyperlink w:history="true" w:anchor="_bookmark42">
        <w:r>
          <w:rPr/>
          <w:t>Table 6-1 </w:t>
        </w:r>
      </w:hyperlink>
      <w:r>
        <w:rPr/>
        <w:t>lists key terms that are important for understanding this technical order. </w:t>
      </w:r>
      <w:hyperlink w:history="true" w:anchor="_bookmark43">
        <w:r>
          <w:rPr/>
          <w:t>Table 6-2 </w:t>
        </w:r>
      </w:hyperlink>
      <w:r>
        <w:rPr/>
        <w:t>lists acronyms and abbreviations that are used in this document.</w:t>
      </w:r>
    </w:p>
    <w:p>
      <w:pPr>
        <w:spacing w:before="117"/>
        <w:ind w:left="31" w:right="212" w:firstLine="0"/>
        <w:jc w:val="center"/>
        <w:rPr>
          <w:b/>
          <w:sz w:val="18"/>
        </w:rPr>
      </w:pPr>
      <w:bookmarkStart w:name="_bookmark42" w:id="76"/>
      <w:bookmarkEnd w:id="76"/>
      <w:r>
        <w:rPr/>
      </w:r>
      <w:r>
        <w:rPr>
          <w:b/>
          <w:sz w:val="18"/>
        </w:rPr>
        <w:t>Table 6-1: Key Terms</w:t>
      </w:r>
    </w:p>
    <w:p>
      <w:pPr>
        <w:pStyle w:val="BodyText"/>
        <w:spacing w:before="8"/>
        <w:rPr>
          <w:b/>
          <w:sz w:val="5"/>
        </w:rPr>
      </w:pPr>
    </w:p>
    <w:tbl>
      <w:tblPr>
        <w:tblW w:w="0" w:type="auto"/>
        <w:jc w:val="left"/>
        <w:tblInd w:w="787"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0" w:type="dxa"/>
          <w:left w:w="0" w:type="dxa"/>
          <w:bottom w:w="0" w:type="dxa"/>
          <w:right w:w="0" w:type="dxa"/>
        </w:tblCellMar>
        <w:tblLook w:val="01E0"/>
      </w:tblPr>
      <w:tblGrid>
        <w:gridCol w:w="2357"/>
        <w:gridCol w:w="7004"/>
      </w:tblGrid>
      <w:tr>
        <w:trPr>
          <w:trHeight w:val="366" w:hRule="atLeast"/>
        </w:trPr>
        <w:tc>
          <w:tcPr>
            <w:tcW w:w="2357" w:type="dxa"/>
            <w:tcBorders>
              <w:bottom w:val="single" w:sz="4" w:space="0" w:color="BEBEBE"/>
            </w:tcBorders>
            <w:shd w:val="clear" w:color="auto" w:fill="D9D9D9"/>
          </w:tcPr>
          <w:p>
            <w:pPr>
              <w:pStyle w:val="TableParagraph"/>
              <w:spacing w:before="64"/>
              <w:ind w:left="117"/>
              <w:rPr>
                <w:b/>
                <w:sz w:val="20"/>
              </w:rPr>
            </w:pPr>
            <w:r>
              <w:rPr>
                <w:b/>
                <w:sz w:val="20"/>
              </w:rPr>
              <w:t>Term</w:t>
            </w:r>
          </w:p>
        </w:tc>
        <w:tc>
          <w:tcPr>
            <w:tcW w:w="7004" w:type="dxa"/>
            <w:tcBorders>
              <w:bottom w:val="single" w:sz="4" w:space="0" w:color="BEBEBE"/>
            </w:tcBorders>
            <w:shd w:val="clear" w:color="auto" w:fill="D9D9D9"/>
          </w:tcPr>
          <w:p>
            <w:pPr>
              <w:pStyle w:val="TableParagraph"/>
              <w:spacing w:before="64"/>
              <w:ind w:left="117"/>
              <w:rPr>
                <w:b/>
                <w:sz w:val="20"/>
              </w:rPr>
            </w:pPr>
            <w:r>
              <w:rPr>
                <w:b/>
                <w:sz w:val="20"/>
              </w:rPr>
              <w:t>Definition</w:t>
            </w:r>
          </w:p>
        </w:tc>
      </w:tr>
      <w:tr>
        <w:trPr>
          <w:trHeight w:val="59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Advanced metering device</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ight="100"/>
              <w:rPr>
                <w:sz w:val="20"/>
              </w:rPr>
            </w:pPr>
            <w:r>
              <w:rPr>
                <w:sz w:val="20"/>
              </w:rPr>
              <w:t>A separate electronic device coupled to a standard meter or to a building automation system that enables it to function as an advanced meter.</w:t>
            </w:r>
          </w:p>
        </w:tc>
      </w:tr>
      <w:tr>
        <w:trPr>
          <w:trHeight w:val="1288"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Advanced metering system</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100" w:firstLine="55"/>
              <w:rPr>
                <w:sz w:val="20"/>
              </w:rPr>
            </w:pPr>
            <w:r>
              <w:rPr>
                <w:sz w:val="20"/>
              </w:rPr>
              <w:t>A system that collects time-differentiated energy or water usage data from advanced meters via a network system on either an on-request or defined schedule basis. The system is capable of providing usage information on at least a daily basis and can support desired features and functionality related to energy-use management, procurement, and operations.</w:t>
            </w:r>
          </w:p>
        </w:tc>
      </w:tr>
      <w:tr>
        <w:trPr>
          <w:trHeight w:val="1050"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2"/>
              <w:ind w:left="115"/>
              <w:rPr>
                <w:sz w:val="20"/>
              </w:rPr>
            </w:pPr>
            <w:r>
              <w:rPr>
                <w:sz w:val="20"/>
              </w:rPr>
              <w:t>Advanced meters</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2"/>
              <w:ind w:left="115" w:right="100"/>
              <w:rPr>
                <w:sz w:val="20"/>
              </w:rPr>
            </w:pPr>
            <w:r>
              <w:rPr>
                <w:sz w:val="20"/>
              </w:rPr>
              <w:t>An advanced meter records energy or water consumption data hourly or more frequently and provides for daily or more frequent transmittal of measurements over a communication network to a central collection point. Features of advanced meters vary depending on the utility they are serving.</w:t>
            </w:r>
          </w:p>
        </w:tc>
      </w:tr>
      <w:tr>
        <w:trPr>
          <w:trHeight w:val="1058"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Amperes (amps, A)</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ight="100"/>
              <w:rPr>
                <w:sz w:val="20"/>
              </w:rPr>
            </w:pPr>
            <w:r>
              <w:rPr>
                <w:sz w:val="20"/>
              </w:rPr>
              <w:t>The measure of electric current flow in a conductor and usually measured with an ammeter or current transformer. Some electrical equipment, such as wire size or circuit breaker size, is rated by its maximum capacity to safely handle electrical current.</w:t>
            </w:r>
          </w:p>
        </w:tc>
      </w:tr>
      <w:tr>
        <w:trPr>
          <w:trHeight w:val="830"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Appropriate</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ight="100"/>
              <w:rPr>
                <w:sz w:val="20"/>
              </w:rPr>
            </w:pPr>
            <w:r>
              <w:rPr>
                <w:sz w:val="20"/>
              </w:rPr>
              <w:t>The installation of standard meters or advanced meters is “appropriate” in all Federal buildings that are not excluded from metering within the 2014 Federal Building Metering Guidance</w:t>
            </w:r>
          </w:p>
        </w:tc>
      </w:tr>
      <w:tr>
        <w:trPr>
          <w:trHeight w:val="1057"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Benchmarking System</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151"/>
              <w:rPr>
                <w:sz w:val="20"/>
              </w:rPr>
            </w:pPr>
            <w:r>
              <w:rPr>
                <w:sz w:val="20"/>
              </w:rPr>
              <w:t>A tool, or system of tools, that enables the performance of a metered building to be benchmarked. ENERGY STAR Portfolio Manager is the designated building energy use benchmarking system for fulfilling Federal benchmarking requirements.</w:t>
            </w:r>
          </w:p>
        </w:tc>
      </w:tr>
      <w:tr>
        <w:trPr>
          <w:trHeight w:val="1058"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162"/>
              <w:rPr>
                <w:sz w:val="20"/>
              </w:rPr>
            </w:pPr>
            <w:r>
              <w:rPr>
                <w:sz w:val="20"/>
              </w:rPr>
              <w:t>British thermal unit (Btu)</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100"/>
              <w:rPr>
                <w:sz w:val="20"/>
              </w:rPr>
            </w:pPr>
            <w:r>
              <w:rPr>
                <w:sz w:val="20"/>
              </w:rPr>
              <w:t>A commonly used unit of energy, especially for fuels or heat. A kilowatt hour is equal to approximately 3412 Btu. Quantity of heat required to raise 1 pound of water by 1°F, close to the equivalent amount of energy generated by burning a kitchen match.</w:t>
            </w:r>
          </w:p>
        </w:tc>
      </w:tr>
      <w:tr>
        <w:trPr>
          <w:trHeight w:val="1977"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Covered Facility</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151"/>
              <w:rPr>
                <w:sz w:val="20"/>
              </w:rPr>
            </w:pPr>
            <w:r>
              <w:rPr>
                <w:sz w:val="20"/>
              </w:rPr>
              <w:t>A facility that an agency has designated as subject to the requirements of section 432 of the Energy Independence and Security Act of 2007 (Pub. L. No. 110-140, as codified at 42 U.S.C. § 8253(f)). This requires agencies to designate covered facilities comprising at least 75 percent of their total facility energy use. A covered facility may be defined as a group of facilities at a single location or multiple locations managed as an integrated operation. A covered facility may also be a single building, if so identified by the agency.</w:t>
            </w:r>
          </w:p>
        </w:tc>
      </w:tr>
    </w:tbl>
    <w:p>
      <w:pPr>
        <w:spacing w:after="0"/>
        <w:rPr>
          <w:sz w:val="20"/>
        </w:rPr>
        <w:sectPr>
          <w:pgSz w:w="12240" w:h="15840"/>
          <w:pgMar w:header="724" w:footer="1020" w:top="1220" w:bottom="1220" w:left="860" w:right="680"/>
        </w:sectPr>
      </w:pPr>
    </w:p>
    <w:p>
      <w:pPr>
        <w:pStyle w:val="BodyText"/>
        <w:spacing w:before="10"/>
        <w:rPr>
          <w:rFonts w:ascii="Times New Roman"/>
          <w:sz w:val="18"/>
        </w:rPr>
      </w:pPr>
    </w:p>
    <w:tbl>
      <w:tblPr>
        <w:tblW w:w="0" w:type="auto"/>
        <w:jc w:val="left"/>
        <w:tblInd w:w="787"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0" w:type="dxa"/>
          <w:left w:w="0" w:type="dxa"/>
          <w:bottom w:w="0" w:type="dxa"/>
          <w:right w:w="0" w:type="dxa"/>
        </w:tblCellMar>
        <w:tblLook w:val="01E0"/>
      </w:tblPr>
      <w:tblGrid>
        <w:gridCol w:w="2357"/>
        <w:gridCol w:w="7004"/>
      </w:tblGrid>
      <w:tr>
        <w:trPr>
          <w:trHeight w:val="367" w:hRule="atLeast"/>
        </w:trPr>
        <w:tc>
          <w:tcPr>
            <w:tcW w:w="2357" w:type="dxa"/>
            <w:tcBorders>
              <w:bottom w:val="single" w:sz="4" w:space="0" w:color="BEBEBE"/>
            </w:tcBorders>
            <w:shd w:val="clear" w:color="auto" w:fill="D9D9D9"/>
          </w:tcPr>
          <w:p>
            <w:pPr>
              <w:pStyle w:val="TableParagraph"/>
              <w:spacing w:before="64"/>
              <w:ind w:left="117"/>
              <w:rPr>
                <w:b/>
                <w:sz w:val="20"/>
              </w:rPr>
            </w:pPr>
            <w:r>
              <w:rPr>
                <w:b/>
                <w:sz w:val="20"/>
              </w:rPr>
              <w:t>Term</w:t>
            </w:r>
          </w:p>
        </w:tc>
        <w:tc>
          <w:tcPr>
            <w:tcW w:w="7004" w:type="dxa"/>
            <w:tcBorders>
              <w:bottom w:val="single" w:sz="4" w:space="0" w:color="BEBEBE"/>
            </w:tcBorders>
            <w:shd w:val="clear" w:color="auto" w:fill="D9D9D9"/>
          </w:tcPr>
          <w:p>
            <w:pPr>
              <w:pStyle w:val="TableParagraph"/>
              <w:spacing w:before="64"/>
              <w:ind w:left="117"/>
              <w:rPr>
                <w:b/>
                <w:sz w:val="20"/>
              </w:rPr>
            </w:pPr>
            <w:r>
              <w:rPr>
                <w:b/>
                <w:sz w:val="20"/>
              </w:rPr>
              <w:t>Definition</w:t>
            </w:r>
          </w:p>
        </w:tc>
      </w:tr>
      <w:tr>
        <w:trPr>
          <w:trHeight w:val="197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Demand</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ight="188"/>
              <w:rPr>
                <w:sz w:val="20"/>
              </w:rPr>
            </w:pPr>
            <w:r>
              <w:rPr>
                <w:sz w:val="20"/>
              </w:rPr>
              <w:t>A measure of the average real power consumption over a specified time interval. The rate at which electricity is delivered by a system or part of a system, or to a load point or set of loads. It is measured in kilowatts, kilovolt amperes, or other suitable unit at a given instant or averaged over a designated period of time. Depending on the utility, the specified demand interval will be between 5 minutes and 1 hour. A 15-minute demand interval is the most common used in the United States, while a 30-minute demand interval is more common in Europe.</w:t>
            </w:r>
          </w:p>
        </w:tc>
      </w:tr>
      <w:tr>
        <w:trPr>
          <w:trHeight w:val="827"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162"/>
              <w:rPr>
                <w:sz w:val="20"/>
              </w:rPr>
            </w:pPr>
            <w:r>
              <w:rPr>
                <w:sz w:val="20"/>
              </w:rPr>
              <w:t>Frequency Hopping Spread Spectrum (FHSS)</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930"/>
              <w:jc w:val="both"/>
              <w:rPr>
                <w:sz w:val="20"/>
              </w:rPr>
            </w:pPr>
            <w:r>
              <w:rPr>
                <w:sz w:val="20"/>
              </w:rPr>
              <w:t>A method of transmitting radio signals by switching a carrier among numerous frequency channels, using a random sequence known to transmitter and receiver.</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Kilowatt-hour (kWh)</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A standard unit of energy equivalent to 1,000 watts over 1 hour.</w:t>
            </w:r>
          </w:p>
        </w:tc>
      </w:tr>
      <w:tr>
        <w:trPr>
          <w:trHeight w:val="828"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Load aggregation</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ight="489" w:firstLine="55"/>
              <w:rPr>
                <w:sz w:val="20"/>
              </w:rPr>
            </w:pPr>
            <w:r>
              <w:rPr>
                <w:sz w:val="20"/>
              </w:rPr>
              <w:t>Aggregation of energy consumption from facilities that is geographically separate from each other for purposes of acquiring and billing utility services.</w:t>
            </w:r>
          </w:p>
        </w:tc>
      </w:tr>
      <w:tr>
        <w:trPr>
          <w:trHeight w:val="1058"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MODBUS</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ight="100"/>
              <w:rPr>
                <w:sz w:val="20"/>
              </w:rPr>
            </w:pPr>
            <w:r>
              <w:rPr>
                <w:sz w:val="20"/>
              </w:rPr>
              <w:t>Modbus is a communication protocol used for transmitting information over serial lines between electronic devices. The device requesting the information is called the Modbus Master (DAS) and the devices supplying information are Modbus Devices (Meters and Modhoppers).</w:t>
            </w:r>
          </w:p>
        </w:tc>
      </w:tr>
      <w:tr>
        <w:trPr>
          <w:trHeight w:val="59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NEMA standards</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ight="100"/>
              <w:rPr>
                <w:sz w:val="20"/>
              </w:rPr>
            </w:pPr>
            <w:r>
              <w:rPr>
                <w:sz w:val="20"/>
              </w:rPr>
              <w:t>Property characteristics adopted as standard by the National Electrical Manufacturers Association.</w:t>
            </w:r>
          </w:p>
        </w:tc>
      </w:tr>
      <w:tr>
        <w:trPr>
          <w:trHeight w:val="1058"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678"/>
              <w:rPr>
                <w:sz w:val="20"/>
              </w:rPr>
            </w:pPr>
            <w:r>
              <w:rPr>
                <w:sz w:val="20"/>
              </w:rPr>
              <w:t>Remote Terminal Unit(RTU)</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color w:val="212121"/>
                <w:sz w:val="20"/>
              </w:rPr>
              <w:t>A microprocessor-controlled electronic device that interfaces objects in the physical world to a distributed control system or SCADA (supervisory control and data acquisition) system by transmitting telemetry data to a master system,</w:t>
            </w:r>
          </w:p>
        </w:tc>
      </w:tr>
      <w:tr>
        <w:trPr>
          <w:trHeight w:val="1057"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Standard meters</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100"/>
              <w:rPr>
                <w:sz w:val="20"/>
              </w:rPr>
            </w:pPr>
            <w:r>
              <w:rPr>
                <w:sz w:val="20"/>
              </w:rPr>
              <w:t>Electromechanical or solid state meters that cumulatively measure, record, and store aggregated usage data that are periodically retrieved for use in customer billing or energy management. Meters that are not advanced meters are standard meters.</w:t>
            </w:r>
          </w:p>
        </w:tc>
      </w:tr>
      <w:tr>
        <w:trPr>
          <w:trHeight w:val="827"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Sub-metering</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100" w:firstLine="55"/>
              <w:rPr>
                <w:sz w:val="20"/>
              </w:rPr>
            </w:pPr>
            <w:r>
              <w:rPr>
                <w:sz w:val="20"/>
              </w:rPr>
              <w:t>Separation of energy consumption from facilities that is geographically separate from each other for the purpose of acquiring energy consumption data (distribution of loads) among buildings within a facility (campus).</w:t>
            </w:r>
          </w:p>
        </w:tc>
      </w:tr>
      <w:tr>
        <w:trPr>
          <w:trHeight w:val="1057"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Voltage (volts, V):</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143"/>
              <w:rPr>
                <w:sz w:val="20"/>
              </w:rPr>
            </w:pPr>
            <w:r>
              <w:rPr>
                <w:sz w:val="20"/>
              </w:rPr>
              <w:t>The measure of electric potential between two points in a circuit and typically measured with a voltmeter or potential transformer. Voltage may</w:t>
            </w:r>
            <w:r>
              <w:rPr>
                <w:spacing w:val="-19"/>
                <w:sz w:val="20"/>
              </w:rPr>
              <w:t> </w:t>
            </w:r>
            <w:r>
              <w:rPr>
                <w:sz w:val="20"/>
              </w:rPr>
              <w:t>be expressed in terms of line-to-neutral (L-N) for a two-wire system or line-to- line (L-L) for a multi-wire</w:t>
            </w:r>
            <w:r>
              <w:rPr>
                <w:spacing w:val="-4"/>
                <w:sz w:val="20"/>
              </w:rPr>
              <w:t> </w:t>
            </w:r>
            <w:r>
              <w:rPr>
                <w:sz w:val="20"/>
              </w:rPr>
              <w:t>system.</w:t>
            </w:r>
          </w:p>
        </w:tc>
      </w:tr>
      <w:tr>
        <w:trPr>
          <w:trHeight w:val="128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7"/>
              <w:ind w:left="115" w:right="162"/>
              <w:rPr>
                <w:sz w:val="20"/>
              </w:rPr>
            </w:pPr>
            <w:r>
              <w:rPr>
                <w:sz w:val="20"/>
              </w:rPr>
              <w:t>Volt-amperes (volt- amps, VA):</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7"/>
              <w:ind w:left="115" w:right="151"/>
              <w:rPr>
                <w:sz w:val="20"/>
              </w:rPr>
            </w:pPr>
            <w:r>
              <w:rPr>
                <w:sz w:val="20"/>
              </w:rPr>
              <w:t>The measure of “apparent” power, or rate of energy, supplied to an electric load. The volt-ampere (designated VA) can be determined by the voltage multiplied by the current. The volt-ampere is frequently the metric used to rate the capacity of electrical equipment, such as transformers or switchgear.</w:t>
            </w:r>
          </w:p>
        </w:tc>
      </w:tr>
      <w:tr>
        <w:trPr>
          <w:trHeight w:val="1288"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Watt</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ight="120"/>
              <w:rPr>
                <w:sz w:val="20"/>
              </w:rPr>
            </w:pPr>
            <w:r>
              <w:rPr>
                <w:sz w:val="20"/>
              </w:rPr>
              <w:t>A measure of power, or rate of energy flow, delivered to an electric load. The rate of energy transfer equivalent to 1 ampere flowing under a pressure of 1 volt at unity power factor. Power can be measured instantaneously</w:t>
            </w:r>
            <w:r>
              <w:rPr>
                <w:spacing w:val="-22"/>
                <w:sz w:val="20"/>
              </w:rPr>
              <w:t> </w:t>
            </w:r>
            <w:r>
              <w:rPr>
                <w:sz w:val="20"/>
              </w:rPr>
              <w:t>(kW) or averaged over time (kWh/h). Average time interval power will also satisfy the time interval data required to be metered and recorded by EPAct</w:t>
            </w:r>
            <w:r>
              <w:rPr>
                <w:spacing w:val="-17"/>
                <w:sz w:val="20"/>
              </w:rPr>
              <w:t> </w:t>
            </w:r>
            <w:r>
              <w:rPr>
                <w:sz w:val="20"/>
              </w:rPr>
              <w:t>2005.</w:t>
            </w:r>
          </w:p>
        </w:tc>
      </w:tr>
    </w:tbl>
    <w:p>
      <w:pPr>
        <w:spacing w:after="0"/>
        <w:rPr>
          <w:sz w:val="20"/>
        </w:rPr>
        <w:sectPr>
          <w:pgSz w:w="12240" w:h="15840"/>
          <w:pgMar w:header="724" w:footer="1020" w:top="1220" w:bottom="1220" w:left="860" w:right="680"/>
        </w:sectPr>
      </w:pPr>
    </w:p>
    <w:p>
      <w:pPr>
        <w:pStyle w:val="BodyText"/>
        <w:rPr>
          <w:rFonts w:ascii="Times New Roman"/>
          <w:sz w:val="20"/>
        </w:rPr>
      </w:pPr>
    </w:p>
    <w:p>
      <w:pPr>
        <w:pStyle w:val="BodyText"/>
        <w:spacing w:before="10"/>
        <w:rPr>
          <w:rFonts w:ascii="Times New Roman"/>
          <w:sz w:val="25"/>
        </w:rPr>
      </w:pPr>
    </w:p>
    <w:p>
      <w:pPr>
        <w:spacing w:before="95"/>
        <w:ind w:left="3564" w:right="0" w:firstLine="0"/>
        <w:jc w:val="left"/>
        <w:rPr>
          <w:b/>
          <w:sz w:val="18"/>
        </w:rPr>
      </w:pPr>
      <w:bookmarkStart w:name="_bookmark43" w:id="77"/>
      <w:bookmarkEnd w:id="77"/>
      <w:r>
        <w:rPr/>
      </w:r>
      <w:r>
        <w:rPr>
          <w:b/>
          <w:sz w:val="18"/>
        </w:rPr>
        <w:t>Table 6-2: Acronyms and Abbreviations</w:t>
      </w:r>
    </w:p>
    <w:p>
      <w:pPr>
        <w:pStyle w:val="BodyText"/>
        <w:spacing w:before="7"/>
        <w:rPr>
          <w:b/>
          <w:sz w:val="5"/>
        </w:rPr>
      </w:pPr>
    </w:p>
    <w:tbl>
      <w:tblPr>
        <w:tblW w:w="0" w:type="auto"/>
        <w:jc w:val="left"/>
        <w:tblInd w:w="787"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0" w:type="dxa"/>
          <w:left w:w="0" w:type="dxa"/>
          <w:bottom w:w="0" w:type="dxa"/>
          <w:right w:w="0" w:type="dxa"/>
        </w:tblCellMar>
        <w:tblLook w:val="01E0"/>
      </w:tblPr>
      <w:tblGrid>
        <w:gridCol w:w="2357"/>
        <w:gridCol w:w="7004"/>
      </w:tblGrid>
      <w:tr>
        <w:trPr>
          <w:trHeight w:val="369" w:hRule="atLeast"/>
        </w:trPr>
        <w:tc>
          <w:tcPr>
            <w:tcW w:w="2357" w:type="dxa"/>
            <w:tcBorders>
              <w:bottom w:val="single" w:sz="4" w:space="0" w:color="BEBEBE"/>
            </w:tcBorders>
            <w:shd w:val="clear" w:color="auto" w:fill="D9D9D9"/>
          </w:tcPr>
          <w:p>
            <w:pPr>
              <w:pStyle w:val="TableParagraph"/>
              <w:spacing w:before="66"/>
              <w:ind w:left="117"/>
              <w:rPr>
                <w:b/>
                <w:sz w:val="20"/>
              </w:rPr>
            </w:pPr>
            <w:r>
              <w:rPr>
                <w:b/>
                <w:sz w:val="20"/>
              </w:rPr>
              <w:t>Term</w:t>
            </w:r>
          </w:p>
        </w:tc>
        <w:tc>
          <w:tcPr>
            <w:tcW w:w="7004" w:type="dxa"/>
            <w:tcBorders>
              <w:bottom w:val="single" w:sz="4" w:space="0" w:color="BEBEBE"/>
            </w:tcBorders>
            <w:shd w:val="clear" w:color="auto" w:fill="D9D9D9"/>
          </w:tcPr>
          <w:p>
            <w:pPr>
              <w:pStyle w:val="TableParagraph"/>
              <w:spacing w:before="66"/>
              <w:ind w:left="117"/>
              <w:rPr>
                <w:b/>
                <w:sz w:val="20"/>
              </w:rPr>
            </w:pPr>
            <w:r>
              <w:rPr>
                <w:b/>
                <w:sz w:val="20"/>
              </w:rPr>
              <w:t>Definition</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AES</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Advanced Encryption Standard</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ALM</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Asset Line Manager</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AMI</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Advanced Metering Initiative</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AMR</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Automated Meter Reading</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ARRA</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American Reinvestment and Recovery Act of 2009</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BOD</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Business Operations Division</w:t>
            </w:r>
          </w:p>
        </w:tc>
      </w:tr>
      <w:tr>
        <w:trPr>
          <w:trHeight w:val="367"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CATCODES</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Category Codes</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CCF</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Hundred cubic feet.</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CMMS</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Computerized Maintenance Management System</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CEU</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Civil Engineering Unit</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CIVW</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Civil Works</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COMDTINST</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USCG Commandant Instruction</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CSTO</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Configuration Standard Technical Order</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CT</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Current Transformer</w:t>
            </w:r>
          </w:p>
        </w:tc>
      </w:tr>
      <w:tr>
        <w:trPr>
          <w:trHeight w:val="362"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2"/>
              <w:ind w:left="115"/>
              <w:rPr>
                <w:sz w:val="20"/>
              </w:rPr>
            </w:pPr>
            <w:r>
              <w:rPr>
                <w:sz w:val="20"/>
              </w:rPr>
              <w:t>DAS</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2"/>
              <w:ind w:left="115"/>
              <w:rPr>
                <w:sz w:val="20"/>
              </w:rPr>
            </w:pPr>
            <w:r>
              <w:rPr>
                <w:sz w:val="20"/>
              </w:rPr>
              <w:t>Data Acquisition Server</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7"/>
              <w:ind w:left="115"/>
              <w:rPr>
                <w:sz w:val="20"/>
              </w:rPr>
            </w:pPr>
            <w:r>
              <w:rPr>
                <w:sz w:val="20"/>
              </w:rPr>
              <w:t>EAM</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7"/>
              <w:ind w:left="115"/>
              <w:rPr>
                <w:sz w:val="20"/>
              </w:rPr>
            </w:pPr>
            <w:r>
              <w:rPr>
                <w:sz w:val="20"/>
              </w:rPr>
              <w:t>Electric Advanced Meter</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ECM</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Energy Conservation Measure</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EDMS</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Energy Data Management System</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EISA 2007</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Energy Independence and Security Act of 2007</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EO</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Executive Order</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EPAct</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Energy Policy Act of 2005</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EPO</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Engineer Petty Officers</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ESD</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Engineering Services Division</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ESPC</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Energy Savings Performance Contracts</w:t>
            </w:r>
          </w:p>
        </w:tc>
      </w:tr>
      <w:tr>
        <w:trPr>
          <w:trHeight w:val="367"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7"/>
              <w:ind w:left="115"/>
              <w:rPr>
                <w:sz w:val="20"/>
              </w:rPr>
            </w:pPr>
            <w:r>
              <w:rPr>
                <w:sz w:val="20"/>
              </w:rPr>
              <w:t>FD&amp;CC</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7"/>
              <w:ind w:left="115"/>
              <w:rPr>
                <w:sz w:val="20"/>
              </w:rPr>
            </w:pPr>
            <w:r>
              <w:rPr>
                <w:sz w:val="20"/>
              </w:rPr>
              <w:t>Facilities Design &amp; Construction Center</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FE</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Facility Engineers</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FEMP</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Federal Energy Management Program</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FHSS</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Frequency Hopping Spread Spectrum</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GAM</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Gas Advanced Meter</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IOM</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I/O Flex Module</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ISP</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Internet Service Provider</w:t>
            </w:r>
          </w:p>
        </w:tc>
      </w:tr>
    </w:tbl>
    <w:p>
      <w:pPr>
        <w:spacing w:after="0"/>
        <w:rPr>
          <w:sz w:val="20"/>
        </w:rPr>
        <w:sectPr>
          <w:pgSz w:w="12240" w:h="15840"/>
          <w:pgMar w:header="724" w:footer="1020" w:top="1220" w:bottom="1220" w:left="860" w:right="680"/>
        </w:sectPr>
      </w:pPr>
    </w:p>
    <w:p>
      <w:pPr>
        <w:pStyle w:val="BodyText"/>
        <w:spacing w:before="10"/>
        <w:rPr>
          <w:rFonts w:ascii="Times New Roman"/>
          <w:sz w:val="18"/>
        </w:rPr>
      </w:pPr>
    </w:p>
    <w:tbl>
      <w:tblPr>
        <w:tblW w:w="0" w:type="auto"/>
        <w:jc w:val="left"/>
        <w:tblInd w:w="787"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0" w:type="dxa"/>
          <w:left w:w="0" w:type="dxa"/>
          <w:bottom w:w="0" w:type="dxa"/>
          <w:right w:w="0" w:type="dxa"/>
        </w:tblCellMar>
        <w:tblLook w:val="01E0"/>
      </w:tblPr>
      <w:tblGrid>
        <w:gridCol w:w="2357"/>
        <w:gridCol w:w="7004"/>
      </w:tblGrid>
      <w:tr>
        <w:trPr>
          <w:trHeight w:val="367" w:hRule="atLeast"/>
        </w:trPr>
        <w:tc>
          <w:tcPr>
            <w:tcW w:w="2357" w:type="dxa"/>
            <w:tcBorders>
              <w:bottom w:val="single" w:sz="4" w:space="0" w:color="BEBEBE"/>
            </w:tcBorders>
            <w:shd w:val="clear" w:color="auto" w:fill="D9D9D9"/>
          </w:tcPr>
          <w:p>
            <w:pPr>
              <w:pStyle w:val="TableParagraph"/>
              <w:spacing w:before="64"/>
              <w:ind w:left="117"/>
              <w:rPr>
                <w:b/>
                <w:sz w:val="20"/>
              </w:rPr>
            </w:pPr>
            <w:r>
              <w:rPr>
                <w:b/>
                <w:sz w:val="20"/>
              </w:rPr>
              <w:t>Term</w:t>
            </w:r>
          </w:p>
        </w:tc>
        <w:tc>
          <w:tcPr>
            <w:tcW w:w="7004" w:type="dxa"/>
            <w:tcBorders>
              <w:bottom w:val="single" w:sz="4" w:space="0" w:color="BEBEBE"/>
            </w:tcBorders>
            <w:shd w:val="clear" w:color="auto" w:fill="D9D9D9"/>
          </w:tcPr>
          <w:p>
            <w:pPr>
              <w:pStyle w:val="TableParagraph"/>
              <w:spacing w:before="64"/>
              <w:ind w:left="117"/>
              <w:rPr>
                <w:b/>
                <w:sz w:val="20"/>
              </w:rPr>
            </w:pPr>
            <w:r>
              <w:rPr>
                <w:b/>
                <w:sz w:val="20"/>
              </w:rPr>
              <w:t>Definition</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J&amp;A</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Justification and Accountability</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MSPL</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Mission Support Product Line</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NEC</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National Electrical Code</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NEMA</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National Electrical Manufacturers Association</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NFPA</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National Fire Protection Association</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NIST</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National Institute of Standards and Technology</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PGTO</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Process Guide Technical Order</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RTU</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Remote Terminal Unit</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RPUID</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Real Property Unique Identifier</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SILC</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Shore Infrastructure Logistics Center</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SOVT</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System Operational Verification Test</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UESC</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Utility Energy Service Contracts</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USCG</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United States Coast Guard</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WAM</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Water Advanced Meter</w:t>
            </w:r>
          </w:p>
        </w:tc>
      </w:tr>
      <w:tr>
        <w:trPr>
          <w:trHeight w:val="369"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XCVR</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9"/>
              <w:ind w:left="115"/>
              <w:rPr>
                <w:sz w:val="20"/>
              </w:rPr>
            </w:pPr>
            <w:r>
              <w:rPr>
                <w:sz w:val="20"/>
              </w:rPr>
              <w:t>Tranceiver</w:t>
            </w:r>
          </w:p>
        </w:tc>
      </w:tr>
      <w:tr>
        <w:trPr>
          <w:trHeight w:val="366" w:hRule="atLeast"/>
        </w:trPr>
        <w:tc>
          <w:tcPr>
            <w:tcW w:w="2357"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XML</w:t>
            </w:r>
          </w:p>
        </w:tc>
        <w:tc>
          <w:tcPr>
            <w:tcW w:w="7004" w:type="dxa"/>
            <w:tcBorders>
              <w:top w:val="single" w:sz="4" w:space="0" w:color="BEBEBE"/>
              <w:left w:val="single" w:sz="4" w:space="0" w:color="BEBEBE"/>
              <w:bottom w:val="single" w:sz="4" w:space="0" w:color="BEBEBE"/>
              <w:right w:val="single" w:sz="4" w:space="0" w:color="BEBEBE"/>
            </w:tcBorders>
          </w:tcPr>
          <w:p>
            <w:pPr>
              <w:pStyle w:val="TableParagraph"/>
              <w:spacing w:before="66"/>
              <w:ind w:left="115"/>
              <w:rPr>
                <w:sz w:val="20"/>
              </w:rPr>
            </w:pPr>
            <w:r>
              <w:rPr>
                <w:sz w:val="20"/>
              </w:rPr>
              <w:t>Extensible Markup Language</w:t>
            </w:r>
          </w:p>
        </w:tc>
      </w:tr>
    </w:tbl>
    <w:p>
      <w:pPr>
        <w:spacing w:after="0"/>
        <w:rPr>
          <w:sz w:val="20"/>
        </w:rPr>
        <w:sectPr>
          <w:pgSz w:w="12240" w:h="15840"/>
          <w:pgMar w:header="724" w:footer="1020" w:top="1220" w:bottom="1220" w:left="860" w:right="680"/>
        </w:sectPr>
      </w:pPr>
    </w:p>
    <w:p>
      <w:pPr>
        <w:pStyle w:val="BodyText"/>
        <w:spacing w:before="8"/>
        <w:rPr>
          <w:rFonts w:ascii="Times New Roman"/>
          <w:sz w:val="19"/>
        </w:rPr>
      </w:pPr>
    </w:p>
    <w:p>
      <w:pPr>
        <w:pStyle w:val="BodyText"/>
        <w:ind w:left="551"/>
        <w:rPr>
          <w:rFonts w:ascii="Times New Roman"/>
          <w:sz w:val="20"/>
        </w:rPr>
      </w:pPr>
      <w:r>
        <w:rPr>
          <w:rFonts w:ascii="Times New Roman"/>
          <w:sz w:val="20"/>
        </w:rPr>
        <w:pict>
          <v:shape style="width:471pt;height:18.150pt;mso-position-horizontal-relative:char;mso-position-vertical-relative:line" type="#_x0000_t202" filled="true" fillcolor="#d9d9d9" stroked="false">
            <w10:anchorlock/>
            <v:textbox inset="0,0,0,0">
              <w:txbxContent>
                <w:p>
                  <w:pPr>
                    <w:spacing w:before="18"/>
                    <w:ind w:left="28" w:right="0" w:firstLine="0"/>
                    <w:jc w:val="left"/>
                    <w:rPr>
                      <w:b/>
                      <w:sz w:val="28"/>
                    </w:rPr>
                  </w:pPr>
                  <w:bookmarkStart w:name="_bookmark44" w:id="78"/>
                  <w:bookmarkEnd w:id="78"/>
                  <w:r>
                    <w:rPr/>
                  </w:r>
                  <w:r>
                    <w:rPr>
                      <w:b/>
                      <w:sz w:val="28"/>
                    </w:rPr>
                    <w:t>Appendix A – Business Case Analysis</w:t>
                  </w:r>
                </w:p>
              </w:txbxContent>
            </v:textbox>
            <v:fill type="solid"/>
          </v:shape>
        </w:pict>
      </w:r>
      <w:r>
        <w:rPr>
          <w:rFonts w:ascii="Times New Roman"/>
          <w:sz w:val="20"/>
        </w:rPr>
      </w:r>
    </w:p>
    <w:p>
      <w:pPr>
        <w:pStyle w:val="BodyText"/>
        <w:spacing w:before="9"/>
        <w:rPr>
          <w:rFonts w:ascii="Times New Roman"/>
          <w:sz w:val="25"/>
        </w:rPr>
      </w:pPr>
    </w:p>
    <w:p>
      <w:pPr>
        <w:spacing w:line="276" w:lineRule="auto" w:before="94"/>
        <w:ind w:left="580" w:right="759" w:firstLine="0"/>
        <w:jc w:val="left"/>
        <w:rPr>
          <w:sz w:val="22"/>
        </w:rPr>
      </w:pPr>
      <w:r>
        <w:rPr/>
        <w:pict>
          <v:line style="position:absolute;mso-position-horizontal-relative:page;mso-position-vertical-relative:paragraph;z-index:2464" from="70.584pt,-34.562138pt" to="541.564pt,-34.562138pt" stroked="true" strokeweight=".48pt" strokecolor="#808080">
            <v:stroke dashstyle="solid"/>
            <w10:wrap type="none"/>
          </v:line>
        </w:pict>
      </w:r>
      <w:r>
        <w:rPr/>
        <w:pict>
          <v:line style="position:absolute;mso-position-horizontal-relative:page;mso-position-vertical-relative:paragraph;z-index:2488" from="70.584pt,-15.942136pt" to="541.564pt,-15.942136pt" stroked="true" strokeweight=".48pt" strokecolor="#808080">
            <v:stroke dashstyle="solid"/>
            <w10:wrap type="none"/>
          </v:line>
        </w:pict>
      </w:r>
      <w:r>
        <w:rPr>
          <w:sz w:val="22"/>
        </w:rPr>
        <w:t>Deviations from or additions to Federal, DHS, or Coast Guard guidance for the qualification or prioritization of advanced metering shall use the following procedures. Per </w:t>
      </w:r>
      <w:r>
        <w:rPr>
          <w:i/>
          <w:sz w:val="22"/>
        </w:rPr>
        <w:t>Shore Facilities </w:t>
      </w:r>
      <w:r>
        <w:rPr>
          <w:i/>
          <w:sz w:val="22"/>
        </w:rPr>
        <w:t>Utilities Metering Guidance Memorandum</w:t>
      </w:r>
      <w:r>
        <w:rPr>
          <w:sz w:val="22"/>
        </w:rPr>
        <w:t>, cost effectiveness of metering will use 10 year simple payback, assuming 2% or higher savings on the use of the metered data. This can be calculated per Federal Energy Management Program’s </w:t>
      </w:r>
      <w:r>
        <w:rPr>
          <w:i/>
          <w:sz w:val="22"/>
        </w:rPr>
        <w:t>O&amp;M Best Practices: A Guide to </w:t>
      </w:r>
      <w:r>
        <w:rPr>
          <w:i/>
          <w:sz w:val="22"/>
        </w:rPr>
        <w:t>Achieving Operational Efficiency </w:t>
      </w:r>
      <w:r>
        <w:rPr>
          <w:sz w:val="22"/>
        </w:rPr>
        <w:t>as</w:t>
      </w:r>
      <w:r>
        <w:rPr>
          <w:spacing w:val="-4"/>
          <w:sz w:val="22"/>
        </w:rPr>
        <w:t> </w:t>
      </w:r>
      <w:r>
        <w:rPr>
          <w:sz w:val="22"/>
        </w:rPr>
        <w:t>follows:</w:t>
      </w:r>
    </w:p>
    <w:p>
      <w:pPr>
        <w:spacing w:after="0" w:line="276" w:lineRule="auto"/>
        <w:jc w:val="left"/>
        <w:rPr>
          <w:sz w:val="22"/>
        </w:rPr>
        <w:sectPr>
          <w:footerReference w:type="default" r:id="rId40"/>
          <w:pgSz w:w="12240" w:h="15840"/>
          <w:pgMar w:footer="1020" w:header="724" w:top="1220" w:bottom="1220" w:left="860" w:right="680"/>
        </w:sectPr>
      </w:pPr>
    </w:p>
    <w:p>
      <w:pPr>
        <w:pStyle w:val="BodyText"/>
        <w:tabs>
          <w:tab w:pos="2157" w:val="left" w:leader="none"/>
        </w:tabs>
        <w:spacing w:line="141" w:lineRule="auto" w:before="132"/>
        <w:ind w:left="1542"/>
        <w:rPr>
          <w:rFonts w:ascii="Cambria Math" w:eastAsia="Cambria Math"/>
        </w:rPr>
      </w:pPr>
      <w:r>
        <w:rPr/>
        <w:pict>
          <v:line style="position:absolute;mso-position-horizontal-relative:page;mso-position-vertical-relative:paragraph;z-index:2512" from="125.540001pt,18.791798pt" to="245.920001pt,18.791798pt" stroked="true" strokeweight=".72pt" strokecolor="#000000">
            <v:stroke dashstyle="solid"/>
            <w10:wrap type="none"/>
          </v:line>
        </w:pict>
      </w:r>
      <w:r>
        <w:rPr/>
        <w:pict>
          <v:shape style="position:absolute;margin-left:115.940002pt;margin-top:13.43375pt;width:4.2pt;height:11.1pt;mso-position-horizontal-relative:page;mso-position-vertical-relative:paragraph;z-index:2560" type="#_x0000_t202" filled="false" stroked="false">
            <v:textbox inset="0,0,0,0">
              <w:txbxContent>
                <w:p>
                  <w:pPr>
                    <w:pStyle w:val="BodyText"/>
                    <w:spacing w:line="221" w:lineRule="exact"/>
                    <w:rPr>
                      <w:rFonts w:ascii="Cambria Math"/>
                    </w:rPr>
                  </w:pPr>
                  <w:r>
                    <w:rPr>
                      <w:rFonts w:ascii="Cambria Math"/>
                      <w:w w:val="108"/>
                    </w:rPr>
                    <w:t>[</w:t>
                  </w:r>
                </w:p>
              </w:txbxContent>
            </v:textbox>
            <w10:wrap type="none"/>
          </v:shape>
        </w:pict>
      </w:r>
      <w:r>
        <w:rPr>
          <w:rFonts w:ascii="Cambria Math" w:eastAsia="Cambria Math"/>
          <w:w w:val="105"/>
          <w:position w:val="-12"/>
        </w:rPr>
        <w:t>(</w:t>
        <w:tab/>
      </w:r>
      <w:r>
        <w:rPr>
          <w:rFonts w:ascii="Cambria Math" w:eastAsia="Cambria Math"/>
          <w:w w:val="105"/>
        </w:rPr>
        <w:t>𝐼𝑛𝑠𝑡𝑎𝑙𝑙𝑒𝑑</w:t>
      </w:r>
      <w:r>
        <w:rPr>
          <w:rFonts w:ascii="Cambria Math" w:eastAsia="Cambria Math"/>
          <w:spacing w:val="-5"/>
          <w:w w:val="105"/>
        </w:rPr>
        <w:t> </w:t>
      </w:r>
      <w:r>
        <w:rPr>
          <w:rFonts w:ascii="Cambria Math" w:eastAsia="Cambria Math"/>
          <w:w w:val="105"/>
        </w:rPr>
        <w:t>𝐶𝑜𝑠𝑡</w:t>
      </w:r>
    </w:p>
    <w:p>
      <w:pPr>
        <w:pStyle w:val="BodyText"/>
        <w:spacing w:line="186" w:lineRule="exact"/>
        <w:ind w:left="1650"/>
        <w:rPr>
          <w:rFonts w:ascii="Cambria Math" w:eastAsia="Cambria Math"/>
        </w:rPr>
      </w:pPr>
      <w:r>
        <w:rPr/>
        <w:pict>
          <v:line style="position:absolute;mso-position-horizontal-relative:page;mso-position-vertical-relative:paragraph;z-index:2536" from="115.940002pt,10.92316pt" to="328.990002pt,10.92316pt" stroked="true" strokeweight=".72pt" strokecolor="#000000">
            <v:stroke dashstyle="solid"/>
            <w10:wrap type="none"/>
          </v:line>
        </w:pict>
      </w:r>
      <w:r>
        <w:rPr>
          <w:rFonts w:ascii="Cambria Math" w:eastAsia="Cambria Math"/>
        </w:rPr>
        <w:t>𝐷𝑒𝑠𝑖𝑟𝑒𝑑 𝑆𝑖𝑚𝑝𝑙𝑒 𝑃𝑎𝑦𝑏𝑎𝑐𝑘</w:t>
      </w:r>
    </w:p>
    <w:p>
      <w:pPr>
        <w:pStyle w:val="BodyText"/>
        <w:spacing w:before="8"/>
        <w:rPr>
          <w:rFonts w:ascii="Cambria Math"/>
          <w:sz w:val="19"/>
        </w:rPr>
      </w:pPr>
      <w:r>
        <w:rPr/>
        <w:br w:type="column"/>
      </w:r>
      <w:r>
        <w:rPr>
          <w:rFonts w:ascii="Cambria Math"/>
          <w:sz w:val="19"/>
        </w:rPr>
      </w:r>
    </w:p>
    <w:p>
      <w:pPr>
        <w:pStyle w:val="BodyText"/>
        <w:spacing w:before="1"/>
        <w:ind w:left="-32"/>
        <w:rPr>
          <w:rFonts w:ascii="Cambria Math" w:eastAsia="Cambria Math"/>
        </w:rPr>
      </w:pPr>
      <w:r>
        <w:rPr>
          <w:rFonts w:ascii="Cambria Math" w:eastAsia="Cambria Math"/>
          <w:w w:val="105"/>
        </w:rPr>
        <w:t>)</w:t>
      </w:r>
      <w:r>
        <w:rPr>
          <w:rFonts w:ascii="Cambria Math" w:eastAsia="Cambria Math"/>
          <w:spacing w:val="-18"/>
          <w:w w:val="105"/>
        </w:rPr>
        <w:t> </w:t>
      </w:r>
      <w:r>
        <w:rPr>
          <w:rFonts w:ascii="Cambria Math" w:eastAsia="Cambria Math"/>
          <w:w w:val="105"/>
        </w:rPr>
        <w:t>+</w:t>
      </w:r>
      <w:r>
        <w:rPr>
          <w:rFonts w:ascii="Cambria Math" w:eastAsia="Cambria Math"/>
          <w:spacing w:val="-16"/>
          <w:w w:val="105"/>
        </w:rPr>
        <w:t> </w:t>
      </w:r>
      <w:r>
        <w:rPr>
          <w:rFonts w:ascii="Cambria Math" w:eastAsia="Cambria Math"/>
          <w:w w:val="105"/>
        </w:rPr>
        <w:t>𝐴𝑛𝑛𝑢𝑎𝑙</w:t>
      </w:r>
      <w:r>
        <w:rPr>
          <w:rFonts w:ascii="Cambria Math" w:eastAsia="Cambria Math"/>
          <w:spacing w:val="-14"/>
          <w:w w:val="105"/>
        </w:rPr>
        <w:t> </w:t>
      </w:r>
      <w:r>
        <w:rPr>
          <w:rFonts w:ascii="Cambria Math" w:eastAsia="Cambria Math"/>
          <w:w w:val="105"/>
        </w:rPr>
        <w:t>𝐶𝑜𝑠𝑡]</w:t>
      </w:r>
    </w:p>
    <w:p>
      <w:pPr>
        <w:pStyle w:val="BodyText"/>
        <w:rPr>
          <w:rFonts w:ascii="Cambria Math"/>
        </w:rPr>
      </w:pPr>
      <w:r>
        <w:rPr/>
        <w:br w:type="column"/>
      </w:r>
      <w:r>
        <w:rPr>
          <w:rFonts w:ascii="Cambria Math"/>
        </w:rPr>
      </w:r>
    </w:p>
    <w:p>
      <w:pPr>
        <w:pStyle w:val="BodyText"/>
        <w:spacing w:before="5"/>
        <w:rPr>
          <w:rFonts w:ascii="Cambria Math"/>
          <w:sz w:val="19"/>
        </w:rPr>
      </w:pPr>
    </w:p>
    <w:p>
      <w:pPr>
        <w:pStyle w:val="BodyText"/>
        <w:spacing w:line="186" w:lineRule="exact"/>
        <w:ind w:left="17"/>
        <w:rPr>
          <w:rFonts w:ascii="Cambria Math" w:eastAsia="Cambria Math"/>
        </w:rPr>
      </w:pPr>
      <w:r>
        <w:rPr>
          <w:rFonts w:ascii="Cambria Math" w:eastAsia="Cambria Math"/>
        </w:rPr>
        <w:t>= 𝑀𝑖𝑛𝑖𝑚𝑢𝑚 𝐴𝑛𝑛𝑢𝑎𝑙 𝐸𝑙𝑒𝑐𝑡𝑟𝑖𝑐 𝐵𝑖𝑙𝑙</w:t>
      </w:r>
    </w:p>
    <w:p>
      <w:pPr>
        <w:spacing w:after="0" w:line="186" w:lineRule="exact"/>
        <w:rPr>
          <w:rFonts w:ascii="Cambria Math" w:eastAsia="Cambria Math"/>
        </w:rPr>
        <w:sectPr>
          <w:type w:val="continuous"/>
          <w:pgSz w:w="12240" w:h="15840"/>
          <w:pgMar w:top="1000" w:bottom="280" w:left="860" w:right="680"/>
          <w:cols w:num="3" w:equalWidth="0">
            <w:col w:w="4051" w:space="40"/>
            <w:col w:w="1632" w:space="39"/>
            <w:col w:w="4938"/>
          </w:cols>
        </w:sectPr>
      </w:pPr>
    </w:p>
    <w:p>
      <w:pPr>
        <w:pStyle w:val="BodyText"/>
        <w:spacing w:before="11"/>
        <w:rPr>
          <w:rFonts w:ascii="Cambria Math"/>
          <w:sz w:val="31"/>
        </w:rPr>
      </w:pPr>
    </w:p>
    <w:p>
      <w:pPr>
        <w:pStyle w:val="BodyText"/>
        <w:ind w:left="580"/>
      </w:pPr>
      <w:r>
        <w:rPr/>
        <w:t>Where:</w:t>
      </w:r>
    </w:p>
    <w:p>
      <w:pPr>
        <w:pStyle w:val="BodyText"/>
        <w:spacing w:line="221" w:lineRule="exact"/>
        <w:ind w:left="580"/>
        <w:rPr>
          <w:rFonts w:ascii="Cambria Math" w:eastAsia="Cambria Math"/>
        </w:rPr>
      </w:pPr>
      <w:r>
        <w:rPr/>
        <w:br w:type="column"/>
      </w:r>
      <w:r>
        <w:rPr>
          <w:rFonts w:ascii="Cambria Math" w:eastAsia="Cambria Math"/>
        </w:rPr>
        <w:t>% 𝐴𝑛𝑛𝑢𝑎𝑙 𝑆𝑎𝑣𝑖𝑛𝑔𝑠</w:t>
      </w:r>
    </w:p>
    <w:p>
      <w:pPr>
        <w:spacing w:after="0" w:line="221" w:lineRule="exact"/>
        <w:rPr>
          <w:rFonts w:ascii="Cambria Math" w:eastAsia="Cambria Math"/>
        </w:rPr>
        <w:sectPr>
          <w:type w:val="continuous"/>
          <w:pgSz w:w="12240" w:h="15840"/>
          <w:pgMar w:top="1000" w:bottom="280" w:left="860" w:right="680"/>
          <w:cols w:num="2" w:equalWidth="0">
            <w:col w:w="1330" w:space="776"/>
            <w:col w:w="8594"/>
          </w:cols>
        </w:sectPr>
      </w:pPr>
    </w:p>
    <w:p>
      <w:pPr>
        <w:pStyle w:val="BodyText"/>
        <w:spacing w:line="276" w:lineRule="auto" w:before="160"/>
        <w:ind w:left="580" w:right="744"/>
      </w:pPr>
      <w:r>
        <w:rPr>
          <w:i/>
        </w:rPr>
        <w:t>Installed Cost </w:t>
      </w:r>
      <w:r>
        <w:rPr/>
        <w:t>refers to the total cost to purchase, install, and commission the meter. As previously noted, the cost of a meter application will vary based on a number of factors. Building electric meters are often in the range of $1,000 to $5,000 completely installed. This broad range reflects the uncertainty of system upgrades that may be associated with electrical code compliance issues.</w:t>
      </w:r>
    </w:p>
    <w:p>
      <w:pPr>
        <w:pStyle w:val="BodyText"/>
        <w:spacing w:line="276" w:lineRule="auto" w:before="120"/>
        <w:ind w:left="580" w:right="1284"/>
      </w:pPr>
      <w:r>
        <w:rPr>
          <w:i/>
        </w:rPr>
        <w:t>Desired Simple Payback </w:t>
      </w:r>
      <w:r>
        <w:rPr/>
        <w:t>represents the number of years it will take the metering system to produce (lead to) cost savings equal to the installed cost. Most agencies prefer a simple payback period of 10 years or less.</w:t>
      </w:r>
    </w:p>
    <w:p>
      <w:pPr>
        <w:pStyle w:val="BodyText"/>
        <w:spacing w:line="276" w:lineRule="auto" w:before="118"/>
        <w:ind w:left="580" w:right="1092"/>
        <w:jc w:val="both"/>
      </w:pPr>
      <w:r>
        <w:rPr>
          <w:i/>
        </w:rPr>
        <w:t>Annual Cost </w:t>
      </w:r>
      <w:r>
        <w:rPr/>
        <w:t>is the total annual cost of the fees and expenses to cover communications, data collection and storage, and data analysis, as well as meter operations and maintenance. The annual cost will vary based on several factors and is typically in the range of $120/year ($10/ month) to $600/year ($50/month).</w:t>
      </w:r>
    </w:p>
    <w:p>
      <w:pPr>
        <w:pStyle w:val="BodyText"/>
        <w:spacing w:line="276" w:lineRule="auto" w:before="121"/>
        <w:ind w:left="580" w:right="867"/>
      </w:pPr>
      <w:r>
        <w:rPr>
          <w:i/>
        </w:rPr>
        <w:t>% Annual Savings </w:t>
      </w:r>
      <w:r>
        <w:rPr/>
        <w:t>is the estimated cost savings benefits to be realized from the productive use of the metered data. Federal sites are advised to use a minimum of 2 percent annual savings when considering meters for EPAct 2005 compliance.</w:t>
      </w:r>
    </w:p>
    <w:p>
      <w:pPr>
        <w:spacing w:line="276" w:lineRule="auto" w:before="120"/>
        <w:ind w:left="580" w:right="904" w:firstLine="0"/>
        <w:jc w:val="left"/>
        <w:rPr>
          <w:sz w:val="22"/>
        </w:rPr>
      </w:pPr>
      <w:r>
        <w:rPr>
          <w:i/>
          <w:sz w:val="22"/>
        </w:rPr>
        <w:t>Minimum Annual Electric Bill </w:t>
      </w:r>
      <w:r>
        <w:rPr>
          <w:sz w:val="22"/>
        </w:rPr>
        <w:t>in the above formula requires that there be a reasonable way to estimate the current annual electricity (utility) costs for the building being considered. Except in cases where the buildings already have standard meters, actual usage data to estimate the annual costs will not be available. In these cases, one of the following accepted methods of estimating building energy use should be applied (see </w:t>
      </w:r>
      <w:r>
        <w:rPr>
          <w:i/>
          <w:sz w:val="22"/>
        </w:rPr>
        <w:t>Metering Best Practices: A Guide to </w:t>
      </w:r>
      <w:r>
        <w:rPr>
          <w:i/>
          <w:sz w:val="22"/>
        </w:rPr>
        <w:t>Achieving Utility Resource Efficiency DOE/EE-0323</w:t>
      </w:r>
      <w:r>
        <w:rPr>
          <w:sz w:val="22"/>
        </w:rPr>
        <w:t>).</w:t>
      </w:r>
    </w:p>
    <w:p>
      <w:pPr>
        <w:pStyle w:val="ListParagraph"/>
        <w:numPr>
          <w:ilvl w:val="0"/>
          <w:numId w:val="21"/>
        </w:numPr>
        <w:tabs>
          <w:tab w:pos="1300" w:val="left" w:leader="none"/>
          <w:tab w:pos="1301" w:val="left" w:leader="none"/>
        </w:tabs>
        <w:spacing w:line="268" w:lineRule="exact" w:before="122" w:after="0"/>
        <w:ind w:left="1300" w:right="0" w:hanging="360"/>
        <w:jc w:val="left"/>
        <w:rPr>
          <w:sz w:val="22"/>
        </w:rPr>
      </w:pPr>
      <w:r>
        <w:rPr>
          <w:sz w:val="22"/>
        </w:rPr>
        <w:t>Square</w:t>
      </w:r>
      <w:r>
        <w:rPr>
          <w:spacing w:val="-4"/>
          <w:sz w:val="22"/>
        </w:rPr>
        <w:t> </w:t>
      </w:r>
      <w:r>
        <w:rPr>
          <w:sz w:val="22"/>
        </w:rPr>
        <w:t>footage.</w:t>
      </w:r>
    </w:p>
    <w:p>
      <w:pPr>
        <w:pStyle w:val="ListParagraph"/>
        <w:numPr>
          <w:ilvl w:val="0"/>
          <w:numId w:val="21"/>
        </w:numPr>
        <w:tabs>
          <w:tab w:pos="1300" w:val="left" w:leader="none"/>
          <w:tab w:pos="1301" w:val="left" w:leader="none"/>
        </w:tabs>
        <w:spacing w:line="268" w:lineRule="exact" w:before="0" w:after="0"/>
        <w:ind w:left="1300" w:right="0" w:hanging="360"/>
        <w:jc w:val="left"/>
        <w:rPr>
          <w:sz w:val="22"/>
        </w:rPr>
      </w:pPr>
      <w:r>
        <w:rPr>
          <w:sz w:val="22"/>
        </w:rPr>
        <w:t>Energy-use</w:t>
      </w:r>
      <w:r>
        <w:rPr>
          <w:spacing w:val="-3"/>
          <w:sz w:val="22"/>
        </w:rPr>
        <w:t> </w:t>
      </w:r>
      <w:r>
        <w:rPr>
          <w:sz w:val="22"/>
        </w:rPr>
        <w:t>intensity.</w:t>
      </w:r>
    </w:p>
    <w:p>
      <w:pPr>
        <w:pStyle w:val="ListParagraph"/>
        <w:numPr>
          <w:ilvl w:val="0"/>
          <w:numId w:val="21"/>
        </w:numPr>
        <w:tabs>
          <w:tab w:pos="1300" w:val="left" w:leader="none"/>
          <w:tab w:pos="1301" w:val="left" w:leader="none"/>
        </w:tabs>
        <w:spacing w:line="269" w:lineRule="exact" w:before="0" w:after="0"/>
        <w:ind w:left="1300" w:right="0" w:hanging="360"/>
        <w:jc w:val="left"/>
        <w:rPr>
          <w:sz w:val="22"/>
        </w:rPr>
      </w:pPr>
      <w:r>
        <w:rPr>
          <w:sz w:val="22"/>
        </w:rPr>
        <w:t>Calibrated</w:t>
      </w:r>
      <w:r>
        <w:rPr>
          <w:spacing w:val="-1"/>
          <w:sz w:val="22"/>
        </w:rPr>
        <w:t> </w:t>
      </w:r>
      <w:r>
        <w:rPr>
          <w:sz w:val="22"/>
        </w:rPr>
        <w:t>software.</w:t>
      </w:r>
    </w:p>
    <w:p>
      <w:pPr>
        <w:pStyle w:val="ListParagraph"/>
        <w:numPr>
          <w:ilvl w:val="0"/>
          <w:numId w:val="21"/>
        </w:numPr>
        <w:tabs>
          <w:tab w:pos="1300" w:val="left" w:leader="none"/>
          <w:tab w:pos="1301" w:val="left" w:leader="none"/>
        </w:tabs>
        <w:spacing w:line="269" w:lineRule="exact" w:before="0" w:after="0"/>
        <w:ind w:left="1300" w:right="0" w:hanging="360"/>
        <w:jc w:val="left"/>
        <w:rPr>
          <w:sz w:val="22"/>
        </w:rPr>
      </w:pPr>
      <w:r>
        <w:rPr>
          <w:sz w:val="22"/>
        </w:rPr>
        <w:t>Short-term</w:t>
      </w:r>
      <w:r>
        <w:rPr>
          <w:spacing w:val="-2"/>
          <w:sz w:val="22"/>
        </w:rPr>
        <w:t> </w:t>
      </w:r>
      <w:r>
        <w:rPr>
          <w:sz w:val="22"/>
        </w:rPr>
        <w:t>metering.</w:t>
      </w:r>
    </w:p>
    <w:p>
      <w:pPr>
        <w:spacing w:after="0" w:line="269" w:lineRule="exact"/>
        <w:jc w:val="left"/>
        <w:rPr>
          <w:sz w:val="22"/>
        </w:rPr>
        <w:sectPr>
          <w:type w:val="continuous"/>
          <w:pgSz w:w="12240" w:h="15840"/>
          <w:pgMar w:top="1000" w:bottom="280" w:left="860" w:right="680"/>
        </w:sectPr>
      </w:pPr>
    </w:p>
    <w:p>
      <w:pPr>
        <w:pStyle w:val="BodyText"/>
        <w:spacing w:before="8"/>
        <w:rPr>
          <w:sz w:val="19"/>
        </w:rPr>
      </w:pPr>
    </w:p>
    <w:p>
      <w:pPr>
        <w:pStyle w:val="BodyText"/>
        <w:ind w:left="551"/>
        <w:rPr>
          <w:sz w:val="20"/>
        </w:rPr>
      </w:pPr>
      <w:r>
        <w:rPr>
          <w:sz w:val="20"/>
        </w:rPr>
        <w:pict>
          <v:shape style="width:471pt;height:18.150pt;mso-position-horizontal-relative:char;mso-position-vertical-relative:line" type="#_x0000_t202" filled="true" fillcolor="#d9d9d9" stroked="false">
            <w10:anchorlock/>
            <v:textbox inset="0,0,0,0">
              <w:txbxContent>
                <w:p>
                  <w:pPr>
                    <w:spacing w:before="18"/>
                    <w:ind w:left="28" w:right="0" w:firstLine="0"/>
                    <w:jc w:val="left"/>
                    <w:rPr>
                      <w:b/>
                      <w:sz w:val="28"/>
                    </w:rPr>
                  </w:pPr>
                  <w:bookmarkStart w:name="_bookmark45" w:id="79"/>
                  <w:bookmarkEnd w:id="79"/>
                  <w:r>
                    <w:rPr/>
                  </w:r>
                  <w:r>
                    <w:rPr>
                      <w:b/>
                      <w:sz w:val="28"/>
                    </w:rPr>
                    <w:t>Appendix B – Data Acquisition Server (DAS) Specifications</w:t>
                  </w:r>
                </w:p>
              </w:txbxContent>
            </v:textbox>
            <v:fill type="solid"/>
          </v:shape>
        </w:pict>
      </w:r>
      <w:r>
        <w:rPr>
          <w:sz w:val="20"/>
        </w:rPr>
      </w:r>
    </w:p>
    <w:p>
      <w:pPr>
        <w:pStyle w:val="BodyText"/>
        <w:spacing w:before="9"/>
        <w:rPr>
          <w:sz w:val="25"/>
        </w:rPr>
      </w:pPr>
    </w:p>
    <w:p>
      <w:pPr>
        <w:pStyle w:val="BodyText"/>
        <w:spacing w:before="94"/>
        <w:ind w:left="580"/>
      </w:pPr>
      <w:r>
        <w:rPr/>
        <w:pict>
          <v:line style="position:absolute;mso-position-horizontal-relative:page;mso-position-vertical-relative:paragraph;z-index:2608" from="70.584pt,-34.562138pt" to="541.564pt,-34.562138pt" stroked="true" strokeweight=".48pt" strokecolor="#808080">
            <v:stroke dashstyle="solid"/>
            <w10:wrap type="none"/>
          </v:line>
        </w:pict>
      </w:r>
      <w:r>
        <w:rPr/>
        <w:pict>
          <v:line style="position:absolute;mso-position-horizontal-relative:page;mso-position-vertical-relative:paragraph;z-index:2632" from="70.584pt,-15.942136pt" to="541.564pt,-15.942136pt" stroked="true" strokeweight=".48pt" strokecolor="#808080">
            <v:stroke dashstyle="solid"/>
            <w10:wrap type="none"/>
          </v:line>
        </w:pict>
      </w:r>
      <w:r>
        <w:rPr/>
        <w:t>AcquiSuite A8812-1 and A8812-GSM</w:t>
      </w:r>
    </w:p>
    <w:p>
      <w:pPr>
        <w:pStyle w:val="BodyText"/>
        <w:spacing w:before="1"/>
        <w:rPr>
          <w:sz w:val="14"/>
        </w:rPr>
      </w:pPr>
    </w:p>
    <w:tbl>
      <w:tblPr>
        <w:tblW w:w="0" w:type="auto"/>
        <w:jc w:val="left"/>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40"/>
        <w:gridCol w:w="6030"/>
      </w:tblGrid>
      <w:tr>
        <w:trPr>
          <w:trHeight w:val="309" w:hRule="atLeast"/>
        </w:trPr>
        <w:tc>
          <w:tcPr>
            <w:tcW w:w="9470" w:type="dxa"/>
            <w:gridSpan w:val="2"/>
          </w:tcPr>
          <w:p>
            <w:pPr>
              <w:pStyle w:val="TableParagraph"/>
              <w:spacing w:before="35"/>
              <w:rPr>
                <w:b/>
                <w:sz w:val="20"/>
              </w:rPr>
            </w:pPr>
            <w:r>
              <w:rPr>
                <w:b/>
                <w:sz w:val="20"/>
              </w:rPr>
              <w:t>Specifications</w:t>
            </w:r>
          </w:p>
        </w:tc>
      </w:tr>
      <w:tr>
        <w:trPr>
          <w:trHeight w:val="309" w:hRule="atLeast"/>
        </w:trPr>
        <w:tc>
          <w:tcPr>
            <w:tcW w:w="3440" w:type="dxa"/>
          </w:tcPr>
          <w:p>
            <w:pPr>
              <w:pStyle w:val="TableParagraph"/>
              <w:rPr>
                <w:sz w:val="20"/>
              </w:rPr>
            </w:pPr>
            <w:r>
              <w:rPr>
                <w:color w:val="201D1E"/>
                <w:sz w:val="20"/>
              </w:rPr>
              <w:t>Processor</w:t>
            </w:r>
          </w:p>
        </w:tc>
        <w:tc>
          <w:tcPr>
            <w:tcW w:w="6030" w:type="dxa"/>
          </w:tcPr>
          <w:p>
            <w:pPr>
              <w:pStyle w:val="TableParagraph"/>
              <w:rPr>
                <w:sz w:val="20"/>
              </w:rPr>
            </w:pPr>
            <w:r>
              <w:rPr>
                <w:color w:val="201D1E"/>
                <w:sz w:val="20"/>
              </w:rPr>
              <w:t>ARM9 embedded CPU, ARM7 IO co-processor</w:t>
            </w:r>
          </w:p>
        </w:tc>
      </w:tr>
      <w:tr>
        <w:trPr>
          <w:trHeight w:val="311" w:hRule="atLeast"/>
        </w:trPr>
        <w:tc>
          <w:tcPr>
            <w:tcW w:w="3440" w:type="dxa"/>
          </w:tcPr>
          <w:p>
            <w:pPr>
              <w:pStyle w:val="TableParagraph"/>
              <w:rPr>
                <w:sz w:val="20"/>
              </w:rPr>
            </w:pPr>
            <w:r>
              <w:rPr>
                <w:color w:val="201D1E"/>
                <w:sz w:val="20"/>
              </w:rPr>
              <w:t>Operating System</w:t>
            </w:r>
          </w:p>
        </w:tc>
        <w:tc>
          <w:tcPr>
            <w:tcW w:w="6030" w:type="dxa"/>
          </w:tcPr>
          <w:p>
            <w:pPr>
              <w:pStyle w:val="TableParagraph"/>
              <w:rPr>
                <w:sz w:val="20"/>
              </w:rPr>
            </w:pPr>
            <w:r>
              <w:rPr>
                <w:color w:val="201D1E"/>
                <w:sz w:val="20"/>
              </w:rPr>
              <w:t>Linux 2.6</w:t>
            </w:r>
          </w:p>
        </w:tc>
      </w:tr>
      <w:tr>
        <w:trPr>
          <w:trHeight w:val="309" w:hRule="atLeast"/>
        </w:trPr>
        <w:tc>
          <w:tcPr>
            <w:tcW w:w="3440" w:type="dxa"/>
          </w:tcPr>
          <w:p>
            <w:pPr>
              <w:pStyle w:val="TableParagraph"/>
              <w:rPr>
                <w:sz w:val="20"/>
              </w:rPr>
            </w:pPr>
            <w:r>
              <w:rPr>
                <w:color w:val="201D1E"/>
                <w:sz w:val="20"/>
              </w:rPr>
              <w:t>Memory</w:t>
            </w:r>
          </w:p>
        </w:tc>
        <w:tc>
          <w:tcPr>
            <w:tcW w:w="6030" w:type="dxa"/>
          </w:tcPr>
          <w:p>
            <w:pPr>
              <w:pStyle w:val="TableParagraph"/>
              <w:rPr>
                <w:sz w:val="20"/>
              </w:rPr>
            </w:pPr>
            <w:r>
              <w:rPr>
                <w:color w:val="201D1E"/>
                <w:sz w:val="20"/>
              </w:rPr>
              <w:t>32 MB RAM</w:t>
            </w:r>
          </w:p>
        </w:tc>
      </w:tr>
      <w:tr>
        <w:trPr>
          <w:trHeight w:val="309" w:hRule="atLeast"/>
        </w:trPr>
        <w:tc>
          <w:tcPr>
            <w:tcW w:w="3440" w:type="dxa"/>
          </w:tcPr>
          <w:p>
            <w:pPr>
              <w:pStyle w:val="TableParagraph"/>
              <w:rPr>
                <w:sz w:val="20"/>
              </w:rPr>
            </w:pPr>
            <w:r>
              <w:rPr>
                <w:color w:val="201D1E"/>
                <w:sz w:val="20"/>
              </w:rPr>
              <w:t>Flash ROM</w:t>
            </w:r>
          </w:p>
        </w:tc>
        <w:tc>
          <w:tcPr>
            <w:tcW w:w="6030" w:type="dxa"/>
          </w:tcPr>
          <w:p>
            <w:pPr>
              <w:pStyle w:val="TableParagraph"/>
              <w:rPr>
                <w:sz w:val="20"/>
              </w:rPr>
            </w:pPr>
            <w:r>
              <w:rPr>
                <w:color w:val="201D1E"/>
                <w:sz w:val="20"/>
              </w:rPr>
              <w:t>16 MB NOR Flash (expandable with USB memory device)</w:t>
            </w:r>
          </w:p>
        </w:tc>
      </w:tr>
      <w:tr>
        <w:trPr>
          <w:trHeight w:val="311" w:hRule="atLeast"/>
        </w:trPr>
        <w:tc>
          <w:tcPr>
            <w:tcW w:w="3440" w:type="dxa"/>
          </w:tcPr>
          <w:p>
            <w:pPr>
              <w:pStyle w:val="TableParagraph"/>
              <w:rPr>
                <w:sz w:val="20"/>
              </w:rPr>
            </w:pPr>
            <w:r>
              <w:rPr>
                <w:color w:val="201D1E"/>
                <w:sz w:val="20"/>
              </w:rPr>
              <w:t>Interval Recording</w:t>
            </w:r>
          </w:p>
        </w:tc>
        <w:tc>
          <w:tcPr>
            <w:tcW w:w="6030" w:type="dxa"/>
          </w:tcPr>
          <w:p>
            <w:pPr>
              <w:pStyle w:val="TableParagraph"/>
              <w:rPr>
                <w:sz w:val="20"/>
              </w:rPr>
            </w:pPr>
            <w:r>
              <w:rPr>
                <w:color w:val="201D1E"/>
                <w:sz w:val="20"/>
              </w:rPr>
              <w:t>1 to 60 minutes, user selectable</w:t>
            </w:r>
          </w:p>
        </w:tc>
      </w:tr>
      <w:tr>
        <w:trPr>
          <w:trHeight w:val="540" w:hRule="atLeast"/>
        </w:trPr>
        <w:tc>
          <w:tcPr>
            <w:tcW w:w="3440" w:type="dxa"/>
          </w:tcPr>
          <w:p>
            <w:pPr>
              <w:pStyle w:val="TableParagraph"/>
              <w:rPr>
                <w:sz w:val="20"/>
              </w:rPr>
            </w:pPr>
            <w:r>
              <w:rPr>
                <w:color w:val="201D1E"/>
                <w:sz w:val="20"/>
              </w:rPr>
              <w:t>LEDs</w:t>
            </w:r>
          </w:p>
        </w:tc>
        <w:tc>
          <w:tcPr>
            <w:tcW w:w="6030" w:type="dxa"/>
          </w:tcPr>
          <w:p>
            <w:pPr>
              <w:pStyle w:val="TableParagraph"/>
              <w:ind w:right="391"/>
              <w:rPr>
                <w:sz w:val="20"/>
              </w:rPr>
            </w:pPr>
            <w:r>
              <w:rPr>
                <w:color w:val="201D1E"/>
                <w:sz w:val="20"/>
              </w:rPr>
              <w:t>8x input, 4 modem activity, Modbus TX/RX, power, system, IO status</w:t>
            </w:r>
          </w:p>
        </w:tc>
      </w:tr>
      <w:tr>
        <w:trPr>
          <w:trHeight w:val="309" w:hRule="atLeast"/>
        </w:trPr>
        <w:tc>
          <w:tcPr>
            <w:tcW w:w="3440" w:type="dxa"/>
          </w:tcPr>
          <w:p>
            <w:pPr>
              <w:pStyle w:val="TableParagraph"/>
              <w:rPr>
                <w:sz w:val="20"/>
              </w:rPr>
            </w:pPr>
            <w:r>
              <w:rPr>
                <w:color w:val="201D1E"/>
                <w:sz w:val="20"/>
              </w:rPr>
              <w:t>Console</w:t>
            </w:r>
          </w:p>
        </w:tc>
        <w:tc>
          <w:tcPr>
            <w:tcW w:w="6030" w:type="dxa"/>
          </w:tcPr>
          <w:p>
            <w:pPr>
              <w:pStyle w:val="TableParagraph"/>
              <w:rPr>
                <w:sz w:val="20"/>
              </w:rPr>
            </w:pPr>
            <w:r>
              <w:rPr>
                <w:color w:val="201D1E"/>
                <w:sz w:val="20"/>
              </w:rPr>
              <w:t>2 x 16 LCD character, two push buttons</w:t>
            </w:r>
          </w:p>
        </w:tc>
      </w:tr>
      <w:tr>
        <w:trPr>
          <w:trHeight w:val="309" w:hRule="atLeast"/>
        </w:trPr>
        <w:tc>
          <w:tcPr>
            <w:tcW w:w="9470" w:type="dxa"/>
            <w:gridSpan w:val="2"/>
          </w:tcPr>
          <w:p>
            <w:pPr>
              <w:pStyle w:val="TableParagraph"/>
              <w:spacing w:before="35"/>
              <w:rPr>
                <w:b/>
                <w:sz w:val="20"/>
              </w:rPr>
            </w:pPr>
            <w:r>
              <w:rPr>
                <w:b/>
                <w:sz w:val="20"/>
              </w:rPr>
              <w:t>Power</w:t>
            </w:r>
          </w:p>
        </w:tc>
      </w:tr>
      <w:tr>
        <w:trPr>
          <w:trHeight w:val="311" w:hRule="atLeast"/>
        </w:trPr>
        <w:tc>
          <w:tcPr>
            <w:tcW w:w="3440" w:type="dxa"/>
          </w:tcPr>
          <w:p>
            <w:pPr>
              <w:pStyle w:val="TableParagraph"/>
              <w:spacing w:before="40"/>
              <w:rPr>
                <w:sz w:val="20"/>
              </w:rPr>
            </w:pPr>
            <w:r>
              <w:rPr>
                <w:color w:val="201D1E"/>
                <w:sz w:val="20"/>
              </w:rPr>
              <w:t>North America</w:t>
            </w:r>
          </w:p>
        </w:tc>
        <w:tc>
          <w:tcPr>
            <w:tcW w:w="6030" w:type="dxa"/>
          </w:tcPr>
          <w:p>
            <w:pPr>
              <w:pStyle w:val="TableParagraph"/>
              <w:spacing w:before="40"/>
              <w:rPr>
                <w:sz w:val="20"/>
              </w:rPr>
            </w:pPr>
            <w:r>
              <w:rPr>
                <w:color w:val="201D1E"/>
                <w:sz w:val="20"/>
              </w:rPr>
              <w:t>110-120VAC, 60Hz, primary</w:t>
            </w:r>
          </w:p>
        </w:tc>
      </w:tr>
      <w:tr>
        <w:trPr>
          <w:trHeight w:val="539" w:hRule="atLeast"/>
        </w:trPr>
        <w:tc>
          <w:tcPr>
            <w:tcW w:w="3440" w:type="dxa"/>
          </w:tcPr>
          <w:p>
            <w:pPr>
              <w:pStyle w:val="TableParagraph"/>
              <w:rPr>
                <w:sz w:val="20"/>
              </w:rPr>
            </w:pPr>
            <w:r>
              <w:rPr>
                <w:color w:val="201D1E"/>
                <w:sz w:val="20"/>
              </w:rPr>
              <w:t>CE/Europe</w:t>
            </w:r>
          </w:p>
        </w:tc>
        <w:tc>
          <w:tcPr>
            <w:tcW w:w="6030" w:type="dxa"/>
          </w:tcPr>
          <w:p>
            <w:pPr>
              <w:pStyle w:val="TableParagraph"/>
              <w:rPr>
                <w:sz w:val="20"/>
              </w:rPr>
            </w:pPr>
            <w:r>
              <w:rPr>
                <w:color w:val="201D1E"/>
                <w:sz w:val="20"/>
              </w:rPr>
              <w:t>100-240VAC, 50-60Hz, primary (interchangeable plug adapters optional)</w:t>
            </w:r>
          </w:p>
        </w:tc>
      </w:tr>
      <w:tr>
        <w:trPr>
          <w:trHeight w:val="309" w:hRule="atLeast"/>
        </w:trPr>
        <w:tc>
          <w:tcPr>
            <w:tcW w:w="3440" w:type="dxa"/>
          </w:tcPr>
          <w:p>
            <w:pPr>
              <w:pStyle w:val="TableParagraph"/>
              <w:rPr>
                <w:sz w:val="20"/>
              </w:rPr>
            </w:pPr>
            <w:r>
              <w:rPr>
                <w:color w:val="201D1E"/>
                <w:sz w:val="20"/>
              </w:rPr>
              <w:t>Power Supply</w:t>
            </w:r>
          </w:p>
        </w:tc>
        <w:tc>
          <w:tcPr>
            <w:tcW w:w="6030" w:type="dxa"/>
          </w:tcPr>
          <w:p>
            <w:pPr>
              <w:pStyle w:val="TableParagraph"/>
              <w:rPr>
                <w:sz w:val="20"/>
              </w:rPr>
            </w:pPr>
            <w:r>
              <w:rPr>
                <w:color w:val="201D1E"/>
                <w:sz w:val="20"/>
              </w:rPr>
              <w:t>24VDC, 1A, class 2 wall brick transformer included</w:t>
            </w:r>
          </w:p>
        </w:tc>
      </w:tr>
      <w:tr>
        <w:trPr>
          <w:trHeight w:val="309" w:hRule="atLeast"/>
        </w:trPr>
        <w:tc>
          <w:tcPr>
            <w:tcW w:w="9470" w:type="dxa"/>
            <w:gridSpan w:val="2"/>
          </w:tcPr>
          <w:p>
            <w:pPr>
              <w:pStyle w:val="TableParagraph"/>
              <w:spacing w:before="35"/>
              <w:rPr>
                <w:b/>
                <w:sz w:val="20"/>
              </w:rPr>
            </w:pPr>
            <w:r>
              <w:rPr>
                <w:b/>
                <w:sz w:val="20"/>
              </w:rPr>
              <w:t>Communication</w:t>
            </w:r>
          </w:p>
        </w:tc>
      </w:tr>
      <w:tr>
        <w:trPr>
          <w:trHeight w:val="542" w:hRule="atLeast"/>
        </w:trPr>
        <w:tc>
          <w:tcPr>
            <w:tcW w:w="3440" w:type="dxa"/>
          </w:tcPr>
          <w:p>
            <w:pPr>
              <w:pStyle w:val="TableParagraph"/>
              <w:spacing w:before="40"/>
              <w:rPr>
                <w:sz w:val="20"/>
              </w:rPr>
            </w:pPr>
            <w:r>
              <w:rPr>
                <w:color w:val="201D1E"/>
                <w:sz w:val="20"/>
              </w:rPr>
              <w:t>Protocols</w:t>
            </w:r>
          </w:p>
        </w:tc>
        <w:tc>
          <w:tcPr>
            <w:tcW w:w="6030" w:type="dxa"/>
          </w:tcPr>
          <w:p>
            <w:pPr>
              <w:pStyle w:val="TableParagraph"/>
              <w:spacing w:before="40"/>
              <w:ind w:right="391"/>
              <w:rPr>
                <w:sz w:val="20"/>
              </w:rPr>
            </w:pPr>
            <w:r>
              <w:rPr>
                <w:color w:val="201D1E"/>
                <w:sz w:val="20"/>
              </w:rPr>
              <w:t>Modbus/RTU, Modbus/TCP, TCP/IP, PPP, HTTP/HTML, FTP, NTP, XML, SNMP-Trap</w:t>
            </w:r>
          </w:p>
        </w:tc>
      </w:tr>
      <w:tr>
        <w:trPr>
          <w:trHeight w:val="309" w:hRule="atLeast"/>
        </w:trPr>
        <w:tc>
          <w:tcPr>
            <w:tcW w:w="3440" w:type="dxa"/>
          </w:tcPr>
          <w:p>
            <w:pPr>
              <w:pStyle w:val="TableParagraph"/>
              <w:rPr>
                <w:sz w:val="20"/>
              </w:rPr>
            </w:pPr>
            <w:r>
              <w:rPr>
                <w:color w:val="201D1E"/>
                <w:sz w:val="20"/>
              </w:rPr>
              <w:t>LAN</w:t>
            </w:r>
          </w:p>
        </w:tc>
        <w:tc>
          <w:tcPr>
            <w:tcW w:w="6030" w:type="dxa"/>
          </w:tcPr>
          <w:p>
            <w:pPr>
              <w:pStyle w:val="TableParagraph"/>
              <w:rPr>
                <w:sz w:val="20"/>
              </w:rPr>
            </w:pPr>
            <w:r>
              <w:rPr>
                <w:color w:val="201D1E"/>
                <w:sz w:val="20"/>
              </w:rPr>
              <w:t>RJ45 10/100 Ethernet, full half duplex, auto polarity</w:t>
            </w:r>
          </w:p>
        </w:tc>
      </w:tr>
      <w:tr>
        <w:trPr>
          <w:trHeight w:val="309" w:hRule="atLeast"/>
        </w:trPr>
        <w:tc>
          <w:tcPr>
            <w:tcW w:w="3440" w:type="dxa"/>
          </w:tcPr>
          <w:p>
            <w:pPr>
              <w:pStyle w:val="TableParagraph"/>
              <w:rPr>
                <w:sz w:val="20"/>
              </w:rPr>
            </w:pPr>
            <w:r>
              <w:rPr>
                <w:color w:val="201D1E"/>
                <w:sz w:val="20"/>
              </w:rPr>
              <w:t>Modem</w:t>
            </w:r>
          </w:p>
        </w:tc>
        <w:tc>
          <w:tcPr>
            <w:tcW w:w="6030" w:type="dxa"/>
          </w:tcPr>
          <w:p>
            <w:pPr>
              <w:pStyle w:val="TableParagraph"/>
              <w:rPr>
                <w:sz w:val="20"/>
              </w:rPr>
            </w:pPr>
            <w:r>
              <w:rPr>
                <w:color w:val="201D1E"/>
                <w:sz w:val="20"/>
              </w:rPr>
              <w:t>V.34 bis, 33,600 bps (A8812-1 only)</w:t>
            </w:r>
          </w:p>
        </w:tc>
      </w:tr>
      <w:tr>
        <w:trPr>
          <w:trHeight w:val="311" w:hRule="atLeast"/>
        </w:trPr>
        <w:tc>
          <w:tcPr>
            <w:tcW w:w="3440" w:type="dxa"/>
          </w:tcPr>
          <w:p>
            <w:pPr>
              <w:pStyle w:val="TableParagraph"/>
              <w:rPr>
                <w:sz w:val="20"/>
              </w:rPr>
            </w:pPr>
            <w:r>
              <w:rPr>
                <w:color w:val="201D1E"/>
                <w:sz w:val="20"/>
              </w:rPr>
              <w:t>Cellular</w:t>
            </w:r>
          </w:p>
        </w:tc>
        <w:tc>
          <w:tcPr>
            <w:tcW w:w="6030" w:type="dxa"/>
          </w:tcPr>
          <w:p>
            <w:pPr>
              <w:pStyle w:val="TableParagraph"/>
              <w:rPr>
                <w:sz w:val="20"/>
              </w:rPr>
            </w:pPr>
            <w:r>
              <w:rPr>
                <w:color w:val="201D1E"/>
                <w:sz w:val="20"/>
              </w:rPr>
              <w:t>GSM/GPRS Cellular (A8812-GSM only)</w:t>
            </w:r>
          </w:p>
        </w:tc>
      </w:tr>
      <w:tr>
        <w:trPr>
          <w:trHeight w:val="309" w:hRule="atLeast"/>
        </w:trPr>
        <w:tc>
          <w:tcPr>
            <w:tcW w:w="3440" w:type="dxa"/>
          </w:tcPr>
          <w:p>
            <w:pPr>
              <w:pStyle w:val="TableParagraph"/>
              <w:rPr>
                <w:sz w:val="20"/>
              </w:rPr>
            </w:pPr>
            <w:r>
              <w:rPr>
                <w:color w:val="201D1E"/>
                <w:sz w:val="20"/>
              </w:rPr>
              <w:t>USB</w:t>
            </w:r>
          </w:p>
        </w:tc>
        <w:tc>
          <w:tcPr>
            <w:tcW w:w="6030" w:type="dxa"/>
          </w:tcPr>
          <w:p>
            <w:pPr>
              <w:pStyle w:val="TableParagraph"/>
              <w:rPr>
                <w:sz w:val="20"/>
              </w:rPr>
            </w:pPr>
            <w:r>
              <w:rPr>
                <w:color w:val="201D1E"/>
                <w:sz w:val="20"/>
              </w:rPr>
              <w:t>USB expansion port</w:t>
            </w:r>
          </w:p>
        </w:tc>
      </w:tr>
      <w:tr>
        <w:trPr>
          <w:trHeight w:val="309" w:hRule="atLeast"/>
        </w:trPr>
        <w:tc>
          <w:tcPr>
            <w:tcW w:w="9470" w:type="dxa"/>
            <w:gridSpan w:val="2"/>
          </w:tcPr>
          <w:p>
            <w:pPr>
              <w:pStyle w:val="TableParagraph"/>
              <w:spacing w:before="35"/>
              <w:rPr>
                <w:b/>
                <w:sz w:val="20"/>
              </w:rPr>
            </w:pPr>
            <w:r>
              <w:rPr>
                <w:b/>
                <w:sz w:val="20"/>
              </w:rPr>
              <w:t>Inputs</w:t>
            </w:r>
          </w:p>
        </w:tc>
      </w:tr>
      <w:tr>
        <w:trPr>
          <w:trHeight w:val="539" w:hRule="atLeast"/>
        </w:trPr>
        <w:tc>
          <w:tcPr>
            <w:tcW w:w="3440" w:type="dxa"/>
          </w:tcPr>
          <w:p>
            <w:pPr>
              <w:pStyle w:val="TableParagraph"/>
              <w:rPr>
                <w:sz w:val="20"/>
              </w:rPr>
            </w:pPr>
            <w:r>
              <w:rPr>
                <w:color w:val="201D1E"/>
                <w:sz w:val="20"/>
              </w:rPr>
              <w:t>Serial Port</w:t>
            </w:r>
          </w:p>
        </w:tc>
        <w:tc>
          <w:tcPr>
            <w:tcW w:w="6030" w:type="dxa"/>
          </w:tcPr>
          <w:p>
            <w:pPr>
              <w:pStyle w:val="TableParagraph"/>
              <w:ind w:right="391"/>
              <w:rPr>
                <w:sz w:val="20"/>
              </w:rPr>
            </w:pPr>
            <w:r>
              <w:rPr>
                <w:color w:val="201D1E"/>
                <w:sz w:val="20"/>
              </w:rPr>
              <w:t>RS-485 Modbus, supports up to 32 external devices (expandable)</w:t>
            </w:r>
          </w:p>
        </w:tc>
      </w:tr>
      <w:tr>
        <w:trPr>
          <w:trHeight w:val="541" w:hRule="atLeast"/>
        </w:trPr>
        <w:tc>
          <w:tcPr>
            <w:tcW w:w="3440" w:type="dxa"/>
          </w:tcPr>
          <w:p>
            <w:pPr>
              <w:pStyle w:val="TableParagraph"/>
              <w:spacing w:before="40"/>
              <w:rPr>
                <w:sz w:val="20"/>
              </w:rPr>
            </w:pPr>
            <w:r>
              <w:rPr>
                <w:color w:val="201D1E"/>
                <w:sz w:val="20"/>
              </w:rPr>
              <w:t>I/O</w:t>
            </w:r>
          </w:p>
        </w:tc>
        <w:tc>
          <w:tcPr>
            <w:tcW w:w="6030" w:type="dxa"/>
          </w:tcPr>
          <w:p>
            <w:pPr>
              <w:pStyle w:val="TableParagraph"/>
              <w:spacing w:before="40"/>
              <w:rPr>
                <w:sz w:val="20"/>
              </w:rPr>
            </w:pPr>
            <w:r>
              <w:rPr>
                <w:color w:val="201D1E"/>
                <w:sz w:val="20"/>
              </w:rPr>
              <w:t>8x Flex IO inputs with user selectable modes: voltage, current, resistance, pulse and status</w:t>
            </w:r>
          </w:p>
        </w:tc>
      </w:tr>
      <w:tr>
        <w:trPr>
          <w:trHeight w:val="309" w:hRule="atLeast"/>
        </w:trPr>
        <w:tc>
          <w:tcPr>
            <w:tcW w:w="9470" w:type="dxa"/>
            <w:gridSpan w:val="2"/>
          </w:tcPr>
          <w:p>
            <w:pPr>
              <w:pStyle w:val="TableParagraph"/>
              <w:spacing w:before="35"/>
              <w:rPr>
                <w:b/>
                <w:sz w:val="20"/>
              </w:rPr>
            </w:pPr>
            <w:r>
              <w:rPr>
                <w:b/>
                <w:sz w:val="20"/>
              </w:rPr>
              <w:t>Outputs</w:t>
            </w:r>
          </w:p>
        </w:tc>
      </w:tr>
      <w:tr>
        <w:trPr>
          <w:trHeight w:val="309" w:hRule="atLeast"/>
        </w:trPr>
        <w:tc>
          <w:tcPr>
            <w:tcW w:w="3440" w:type="dxa"/>
          </w:tcPr>
          <w:p>
            <w:pPr>
              <w:pStyle w:val="TableParagraph"/>
              <w:rPr>
                <w:sz w:val="20"/>
              </w:rPr>
            </w:pPr>
            <w:r>
              <w:rPr>
                <w:color w:val="201D1E"/>
                <w:sz w:val="20"/>
              </w:rPr>
              <w:t>Relays</w:t>
            </w:r>
          </w:p>
        </w:tc>
        <w:tc>
          <w:tcPr>
            <w:tcW w:w="6030" w:type="dxa"/>
          </w:tcPr>
          <w:p>
            <w:pPr>
              <w:pStyle w:val="TableParagraph"/>
              <w:rPr>
                <w:sz w:val="20"/>
              </w:rPr>
            </w:pPr>
            <w:r>
              <w:rPr>
                <w:color w:val="201D1E"/>
                <w:sz w:val="20"/>
              </w:rPr>
              <w:t>2x, dry contact 30 VDC, 150 mA max</w:t>
            </w:r>
          </w:p>
        </w:tc>
      </w:tr>
      <w:tr>
        <w:trPr>
          <w:trHeight w:val="311" w:hRule="atLeast"/>
        </w:trPr>
        <w:tc>
          <w:tcPr>
            <w:tcW w:w="9470" w:type="dxa"/>
            <w:gridSpan w:val="2"/>
          </w:tcPr>
          <w:p>
            <w:pPr>
              <w:pStyle w:val="TableParagraph"/>
              <w:spacing w:before="35"/>
              <w:rPr>
                <w:b/>
                <w:sz w:val="20"/>
              </w:rPr>
            </w:pPr>
            <w:r>
              <w:rPr>
                <w:b/>
                <w:sz w:val="20"/>
              </w:rPr>
              <w:t>Physical</w:t>
            </w:r>
          </w:p>
        </w:tc>
      </w:tr>
      <w:tr>
        <w:trPr>
          <w:trHeight w:val="309" w:hRule="atLeast"/>
        </w:trPr>
        <w:tc>
          <w:tcPr>
            <w:tcW w:w="3440" w:type="dxa"/>
          </w:tcPr>
          <w:p>
            <w:pPr>
              <w:pStyle w:val="TableParagraph"/>
              <w:rPr>
                <w:sz w:val="20"/>
              </w:rPr>
            </w:pPr>
            <w:r>
              <w:rPr>
                <w:color w:val="201D1E"/>
                <w:sz w:val="20"/>
              </w:rPr>
              <w:t>Weight</w:t>
            </w:r>
          </w:p>
        </w:tc>
        <w:tc>
          <w:tcPr>
            <w:tcW w:w="6030" w:type="dxa"/>
          </w:tcPr>
          <w:p>
            <w:pPr>
              <w:pStyle w:val="TableParagraph"/>
              <w:rPr>
                <w:sz w:val="20"/>
              </w:rPr>
            </w:pPr>
            <w:r>
              <w:rPr>
                <w:color w:val="201D1E"/>
                <w:sz w:val="20"/>
              </w:rPr>
              <w:t>5lbs (2.3kg)</w:t>
            </w:r>
          </w:p>
        </w:tc>
      </w:tr>
      <w:tr>
        <w:trPr>
          <w:trHeight w:val="309" w:hRule="atLeast"/>
        </w:trPr>
        <w:tc>
          <w:tcPr>
            <w:tcW w:w="3440" w:type="dxa"/>
          </w:tcPr>
          <w:p>
            <w:pPr>
              <w:pStyle w:val="TableParagraph"/>
              <w:rPr>
                <w:sz w:val="20"/>
              </w:rPr>
            </w:pPr>
            <w:r>
              <w:rPr>
                <w:color w:val="201D1E"/>
                <w:sz w:val="20"/>
              </w:rPr>
              <w:t>Size</w:t>
            </w:r>
          </w:p>
        </w:tc>
        <w:tc>
          <w:tcPr>
            <w:tcW w:w="6030" w:type="dxa"/>
          </w:tcPr>
          <w:p>
            <w:pPr>
              <w:pStyle w:val="TableParagraph"/>
              <w:rPr>
                <w:sz w:val="20"/>
              </w:rPr>
            </w:pPr>
            <w:r>
              <w:rPr>
                <w:color w:val="201D1E"/>
                <w:sz w:val="20"/>
              </w:rPr>
              <w:t>8" x 9.25" x 2.5" (203mm x 235mm x 64mm)</w:t>
            </w:r>
          </w:p>
        </w:tc>
      </w:tr>
      <w:tr>
        <w:trPr>
          <w:trHeight w:val="311" w:hRule="atLeast"/>
        </w:trPr>
        <w:tc>
          <w:tcPr>
            <w:tcW w:w="9470" w:type="dxa"/>
            <w:gridSpan w:val="2"/>
          </w:tcPr>
          <w:p>
            <w:pPr>
              <w:pStyle w:val="TableParagraph"/>
              <w:spacing w:before="35"/>
              <w:rPr>
                <w:b/>
                <w:sz w:val="20"/>
              </w:rPr>
            </w:pPr>
            <w:r>
              <w:rPr>
                <w:b/>
                <w:sz w:val="20"/>
              </w:rPr>
              <w:t>Environment</w:t>
            </w:r>
          </w:p>
        </w:tc>
      </w:tr>
      <w:tr>
        <w:trPr>
          <w:trHeight w:val="309" w:hRule="atLeast"/>
        </w:trPr>
        <w:tc>
          <w:tcPr>
            <w:tcW w:w="3440" w:type="dxa"/>
          </w:tcPr>
          <w:p>
            <w:pPr>
              <w:pStyle w:val="TableParagraph"/>
              <w:rPr>
                <w:sz w:val="20"/>
              </w:rPr>
            </w:pPr>
            <w:r>
              <w:rPr>
                <w:color w:val="201D1E"/>
                <w:sz w:val="20"/>
              </w:rPr>
              <w:t>North America</w:t>
            </w:r>
          </w:p>
        </w:tc>
        <w:tc>
          <w:tcPr>
            <w:tcW w:w="6030" w:type="dxa"/>
          </w:tcPr>
          <w:p>
            <w:pPr>
              <w:pStyle w:val="TableParagraph"/>
              <w:rPr>
                <w:sz w:val="20"/>
              </w:rPr>
            </w:pPr>
            <w:r>
              <w:rPr>
                <w:color w:val="201D1E"/>
                <w:sz w:val="20"/>
              </w:rPr>
              <w:t>0 to 50C, 0-90% RH, non-condensing</w:t>
            </w:r>
          </w:p>
        </w:tc>
      </w:tr>
      <w:tr>
        <w:trPr>
          <w:trHeight w:val="309" w:hRule="atLeast"/>
        </w:trPr>
        <w:tc>
          <w:tcPr>
            <w:tcW w:w="3440" w:type="dxa"/>
          </w:tcPr>
          <w:p>
            <w:pPr>
              <w:pStyle w:val="TableParagraph"/>
              <w:rPr>
                <w:sz w:val="20"/>
              </w:rPr>
            </w:pPr>
            <w:r>
              <w:rPr>
                <w:color w:val="201D1E"/>
                <w:sz w:val="20"/>
              </w:rPr>
              <w:t>CE/Europe</w:t>
            </w:r>
          </w:p>
        </w:tc>
        <w:tc>
          <w:tcPr>
            <w:tcW w:w="6030" w:type="dxa"/>
          </w:tcPr>
          <w:p>
            <w:pPr>
              <w:pStyle w:val="TableParagraph"/>
              <w:rPr>
                <w:sz w:val="20"/>
              </w:rPr>
            </w:pPr>
            <w:r>
              <w:rPr>
                <w:color w:val="201D1E"/>
                <w:sz w:val="20"/>
              </w:rPr>
              <w:t>5 to 40C, 0-90% RH, non-condensing</w:t>
            </w:r>
          </w:p>
        </w:tc>
      </w:tr>
      <w:tr>
        <w:trPr>
          <w:trHeight w:val="309" w:hRule="atLeast"/>
        </w:trPr>
        <w:tc>
          <w:tcPr>
            <w:tcW w:w="9470" w:type="dxa"/>
            <w:gridSpan w:val="2"/>
          </w:tcPr>
          <w:p>
            <w:pPr>
              <w:pStyle w:val="TableParagraph"/>
              <w:spacing w:before="35"/>
              <w:rPr>
                <w:b/>
                <w:sz w:val="20"/>
              </w:rPr>
            </w:pPr>
            <w:r>
              <w:rPr>
                <w:b/>
                <w:sz w:val="20"/>
              </w:rPr>
              <w:t>Codes and Standards</w:t>
            </w:r>
          </w:p>
        </w:tc>
      </w:tr>
      <w:tr>
        <w:trPr>
          <w:trHeight w:val="311" w:hRule="atLeast"/>
        </w:trPr>
        <w:tc>
          <w:tcPr>
            <w:tcW w:w="9470" w:type="dxa"/>
            <w:gridSpan w:val="2"/>
          </w:tcPr>
          <w:p>
            <w:pPr>
              <w:pStyle w:val="TableParagraph"/>
              <w:spacing w:before="40"/>
              <w:rPr>
                <w:sz w:val="20"/>
              </w:rPr>
            </w:pPr>
            <w:r>
              <w:rPr>
                <w:color w:val="201D1E"/>
                <w:sz w:val="20"/>
              </w:rPr>
              <w:t>FCC CFR 47 Part 15, Class A, EN 61000, EN 61326, CE</w:t>
            </w:r>
          </w:p>
        </w:tc>
      </w:tr>
      <w:tr>
        <w:trPr>
          <w:trHeight w:val="309" w:hRule="atLeast"/>
        </w:trPr>
        <w:tc>
          <w:tcPr>
            <w:tcW w:w="9470" w:type="dxa"/>
            <w:gridSpan w:val="2"/>
          </w:tcPr>
          <w:p>
            <w:pPr>
              <w:pStyle w:val="TableParagraph"/>
              <w:spacing w:before="35"/>
              <w:rPr>
                <w:b/>
                <w:sz w:val="20"/>
              </w:rPr>
            </w:pPr>
            <w:r>
              <w:rPr>
                <w:b/>
                <w:color w:val="201D1E"/>
                <w:sz w:val="20"/>
              </w:rPr>
              <w:t>NEMA enclosures available</w:t>
            </w:r>
          </w:p>
        </w:tc>
      </w:tr>
    </w:tbl>
    <w:p>
      <w:pPr>
        <w:spacing w:after="0"/>
        <w:rPr>
          <w:sz w:val="20"/>
        </w:rPr>
        <w:sectPr>
          <w:footerReference w:type="default" r:id="rId41"/>
          <w:pgSz w:w="12240" w:h="15840"/>
          <w:pgMar w:footer="1020" w:header="724" w:top="1220" w:bottom="1220" w:left="860" w:right="680"/>
        </w:sectPr>
      </w:pPr>
    </w:p>
    <w:p>
      <w:pPr>
        <w:pStyle w:val="BodyText"/>
        <w:spacing w:before="8"/>
        <w:rPr>
          <w:rFonts w:ascii="Times New Roman"/>
          <w:sz w:val="19"/>
        </w:rPr>
      </w:pPr>
      <w:r>
        <w:rPr/>
        <w:pict>
          <v:line style="position:absolute;mso-position-horizontal-relative:page;mso-position-vertical-relative:page;z-index:2680" from="70.584pt,72.239998pt" to="541.564pt,72.239998pt" stroked="true" strokeweight=".48pt" strokecolor="#808080">
            <v:stroke dashstyle="solid"/>
            <w10:wrap type="none"/>
          </v:line>
        </w:pict>
      </w:r>
      <w:r>
        <w:rPr/>
        <w:pict>
          <v:line style="position:absolute;mso-position-horizontal-relative:page;mso-position-vertical-relative:page;z-index:2704" from="70.584pt,90.860001pt" to="541.564pt,90.860001pt" stroked="true" strokeweight=".48pt" strokecolor="#808080">
            <v:stroke dashstyle="solid"/>
            <w10:wrap type="none"/>
          </v:line>
        </w:pict>
      </w:r>
    </w:p>
    <w:p>
      <w:pPr>
        <w:pStyle w:val="BodyText"/>
        <w:ind w:left="551"/>
        <w:rPr>
          <w:rFonts w:ascii="Times New Roman"/>
          <w:sz w:val="20"/>
        </w:rPr>
      </w:pPr>
      <w:r>
        <w:rPr>
          <w:rFonts w:ascii="Times New Roman"/>
          <w:sz w:val="20"/>
        </w:rPr>
        <w:pict>
          <v:shape style="width:471pt;height:18.150pt;mso-position-horizontal-relative:char;mso-position-vertical-relative:line" type="#_x0000_t202" filled="true" fillcolor="#d9d9d9" stroked="false">
            <w10:anchorlock/>
            <v:textbox inset="0,0,0,0">
              <w:txbxContent>
                <w:p>
                  <w:pPr>
                    <w:spacing w:before="18"/>
                    <w:ind w:left="28" w:right="0" w:firstLine="0"/>
                    <w:jc w:val="left"/>
                    <w:rPr>
                      <w:b/>
                      <w:sz w:val="28"/>
                    </w:rPr>
                  </w:pPr>
                  <w:bookmarkStart w:name="_bookmark46" w:id="80"/>
                  <w:bookmarkEnd w:id="80"/>
                  <w:r>
                    <w:rPr/>
                  </w:r>
                  <w:r>
                    <w:rPr>
                      <w:b/>
                      <w:sz w:val="28"/>
                    </w:rPr>
                    <w:t>Appendix C – Wireless ModBus/Pulse Transceiver</w:t>
                  </w:r>
                </w:p>
              </w:txbxContent>
            </v:textbox>
            <v:fill type="solid"/>
          </v:shape>
        </w:pict>
      </w:r>
      <w:r>
        <w:rPr>
          <w:rFonts w:ascii="Times New Roman"/>
          <w:sz w:val="20"/>
        </w:rPr>
      </w:r>
    </w:p>
    <w:p>
      <w:pPr>
        <w:pStyle w:val="BodyText"/>
        <w:rPr>
          <w:rFonts w:ascii="Times New Roman"/>
          <w:sz w:val="20"/>
        </w:rPr>
      </w:pPr>
    </w:p>
    <w:p>
      <w:pPr>
        <w:pStyle w:val="BodyText"/>
        <w:spacing w:before="1" w:after="1"/>
        <w:rPr>
          <w:rFonts w:ascii="Times New Roman"/>
          <w:sz w:val="14"/>
        </w:rPr>
      </w:pPr>
    </w:p>
    <w:tbl>
      <w:tblPr>
        <w:tblW w:w="0" w:type="auto"/>
        <w:jc w:val="left"/>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40"/>
        <w:gridCol w:w="6030"/>
      </w:tblGrid>
      <w:tr>
        <w:trPr>
          <w:trHeight w:val="311" w:hRule="atLeast"/>
        </w:trPr>
        <w:tc>
          <w:tcPr>
            <w:tcW w:w="9470" w:type="dxa"/>
            <w:gridSpan w:val="2"/>
          </w:tcPr>
          <w:p>
            <w:pPr>
              <w:pStyle w:val="TableParagraph"/>
              <w:rPr>
                <w:b/>
                <w:sz w:val="20"/>
              </w:rPr>
            </w:pPr>
            <w:r>
              <w:rPr>
                <w:b/>
                <w:sz w:val="20"/>
              </w:rPr>
              <w:t>Specifications</w:t>
            </w:r>
          </w:p>
        </w:tc>
      </w:tr>
      <w:tr>
        <w:trPr>
          <w:trHeight w:val="309" w:hRule="atLeast"/>
        </w:trPr>
        <w:tc>
          <w:tcPr>
            <w:tcW w:w="3440" w:type="dxa"/>
          </w:tcPr>
          <w:p>
            <w:pPr>
              <w:pStyle w:val="TableParagraph"/>
              <w:rPr>
                <w:sz w:val="20"/>
              </w:rPr>
            </w:pPr>
            <w:r>
              <w:rPr>
                <w:sz w:val="20"/>
              </w:rPr>
              <w:t>Processor</w:t>
            </w:r>
          </w:p>
        </w:tc>
        <w:tc>
          <w:tcPr>
            <w:tcW w:w="6030" w:type="dxa"/>
          </w:tcPr>
          <w:p>
            <w:pPr>
              <w:pStyle w:val="TableParagraph"/>
              <w:rPr>
                <w:sz w:val="20"/>
              </w:rPr>
            </w:pPr>
            <w:r>
              <w:rPr>
                <w:sz w:val="20"/>
              </w:rPr>
              <w:t>60MHz ARM7 embedded CPU</w:t>
            </w:r>
          </w:p>
        </w:tc>
      </w:tr>
      <w:tr>
        <w:trPr>
          <w:trHeight w:val="309" w:hRule="atLeast"/>
        </w:trPr>
        <w:tc>
          <w:tcPr>
            <w:tcW w:w="3440" w:type="dxa"/>
          </w:tcPr>
          <w:p>
            <w:pPr>
              <w:pStyle w:val="TableParagraph"/>
              <w:rPr>
                <w:sz w:val="20"/>
              </w:rPr>
            </w:pPr>
            <w:r>
              <w:rPr>
                <w:sz w:val="20"/>
              </w:rPr>
              <w:t>LEDs</w:t>
            </w:r>
          </w:p>
        </w:tc>
        <w:tc>
          <w:tcPr>
            <w:tcW w:w="6030" w:type="dxa"/>
          </w:tcPr>
          <w:p>
            <w:pPr>
              <w:pStyle w:val="TableParagraph"/>
              <w:rPr>
                <w:sz w:val="20"/>
              </w:rPr>
            </w:pPr>
            <w:r>
              <w:rPr>
                <w:sz w:val="20"/>
              </w:rPr>
              <w:t>3 x RF, 2 x RS-485, 2 x Pulse, Alive, Alarm</w:t>
            </w:r>
          </w:p>
        </w:tc>
      </w:tr>
      <w:tr>
        <w:trPr>
          <w:trHeight w:val="3552" w:hRule="atLeast"/>
        </w:trPr>
        <w:tc>
          <w:tcPr>
            <w:tcW w:w="9470" w:type="dxa"/>
            <w:gridSpan w:val="2"/>
          </w:tcPr>
          <w:p>
            <w:pPr>
              <w:pStyle w:val="TableParagraph"/>
              <w:spacing w:line="280" w:lineRule="auto" w:before="40"/>
              <w:ind w:right="5204"/>
              <w:rPr>
                <w:sz w:val="20"/>
              </w:rPr>
            </w:pPr>
            <w:r>
              <w:rPr>
                <w:sz w:val="20"/>
              </w:rPr>
              <w:t>Designed specifically for wireless metering 256Bit AES, FIPS-197 certified, J/F-12 8306 No software or programming required</w:t>
            </w:r>
          </w:p>
          <w:p>
            <w:pPr>
              <w:pStyle w:val="TableParagraph"/>
              <w:spacing w:line="280" w:lineRule="auto" w:before="1"/>
              <w:ind w:right="4664"/>
              <w:rPr>
                <w:sz w:val="20"/>
              </w:rPr>
            </w:pPr>
            <w:r>
              <w:rPr>
                <w:sz w:val="20"/>
              </w:rPr>
              <w:t>Devices automatically configure when powered Wireless “mesh” network self-healing, self-optimizing Frequency hopping, spread spectrum (FHSS)</w:t>
            </w:r>
          </w:p>
          <w:p>
            <w:pPr>
              <w:pStyle w:val="TableParagraph"/>
              <w:spacing w:line="283" w:lineRule="auto" w:before="3"/>
              <w:ind w:right="2145"/>
              <w:rPr>
                <w:sz w:val="20"/>
              </w:rPr>
            </w:pPr>
            <w:r>
              <w:rPr>
                <w:sz w:val="20"/>
              </w:rPr>
              <w:t>Connect up to 32 Modbus and 2 pulse devices per ModHopper (expandable) Long distance communication (3000ft indoor / 14 miles LOS)</w:t>
            </w:r>
          </w:p>
          <w:p>
            <w:pPr>
              <w:pStyle w:val="TableParagraph"/>
              <w:spacing w:line="283" w:lineRule="auto" w:before="0"/>
              <w:ind w:right="5841"/>
              <w:rPr>
                <w:sz w:val="20"/>
              </w:rPr>
            </w:pPr>
            <w:r>
              <w:rPr>
                <w:sz w:val="20"/>
              </w:rPr>
              <w:t>Visual display of signal strength (LEDs) Multiple independent network capability</w:t>
            </w:r>
          </w:p>
          <w:p>
            <w:pPr>
              <w:pStyle w:val="TableParagraph"/>
              <w:spacing w:line="283" w:lineRule="auto" w:before="0"/>
              <w:ind w:right="3092"/>
              <w:rPr>
                <w:sz w:val="20"/>
              </w:rPr>
            </w:pPr>
            <w:r>
              <w:rPr>
                <w:sz w:val="20"/>
              </w:rPr>
              <w:t>Reliable, constant two-way communication and packet verification Point to multi-point communication</w:t>
            </w:r>
          </w:p>
          <w:p>
            <w:pPr>
              <w:pStyle w:val="TableParagraph"/>
              <w:spacing w:line="227" w:lineRule="exact" w:before="0"/>
              <w:rPr>
                <w:sz w:val="20"/>
              </w:rPr>
            </w:pPr>
            <w:r>
              <w:rPr>
                <w:sz w:val="20"/>
              </w:rPr>
              <w:t>Field upgradable firmware</w:t>
            </w:r>
          </w:p>
        </w:tc>
      </w:tr>
      <w:tr>
        <w:trPr>
          <w:trHeight w:val="309" w:hRule="atLeast"/>
        </w:trPr>
        <w:tc>
          <w:tcPr>
            <w:tcW w:w="9470" w:type="dxa"/>
            <w:gridSpan w:val="2"/>
          </w:tcPr>
          <w:p>
            <w:pPr>
              <w:pStyle w:val="TableParagraph"/>
              <w:spacing w:before="35"/>
              <w:rPr>
                <w:b/>
                <w:sz w:val="20"/>
              </w:rPr>
            </w:pPr>
            <w:r>
              <w:rPr>
                <w:b/>
                <w:sz w:val="20"/>
              </w:rPr>
              <w:t>Power</w:t>
            </w:r>
          </w:p>
        </w:tc>
      </w:tr>
      <w:tr>
        <w:trPr>
          <w:trHeight w:val="539" w:hRule="atLeast"/>
        </w:trPr>
        <w:tc>
          <w:tcPr>
            <w:tcW w:w="3440" w:type="dxa"/>
          </w:tcPr>
          <w:p>
            <w:pPr>
              <w:pStyle w:val="TableParagraph"/>
              <w:rPr>
                <w:sz w:val="20"/>
              </w:rPr>
            </w:pPr>
            <w:r>
              <w:rPr>
                <w:sz w:val="20"/>
              </w:rPr>
              <w:t>North America</w:t>
            </w:r>
          </w:p>
        </w:tc>
        <w:tc>
          <w:tcPr>
            <w:tcW w:w="6030" w:type="dxa"/>
          </w:tcPr>
          <w:p>
            <w:pPr>
              <w:pStyle w:val="TableParagraph"/>
              <w:ind w:right="546"/>
              <w:rPr>
                <w:sz w:val="20"/>
              </w:rPr>
            </w:pPr>
            <w:r>
              <w:rPr>
                <w:sz w:val="20"/>
              </w:rPr>
              <w:t>110-120VAC, 60Hz, primary, 9-12VDC class 2 power supply included</w:t>
            </w:r>
          </w:p>
        </w:tc>
      </w:tr>
      <w:tr>
        <w:trPr>
          <w:trHeight w:val="309" w:hRule="atLeast"/>
        </w:trPr>
        <w:tc>
          <w:tcPr>
            <w:tcW w:w="3440" w:type="dxa"/>
          </w:tcPr>
          <w:p>
            <w:pPr>
              <w:pStyle w:val="TableParagraph"/>
              <w:rPr>
                <w:sz w:val="20"/>
              </w:rPr>
            </w:pPr>
            <w:r>
              <w:rPr>
                <w:sz w:val="20"/>
              </w:rPr>
              <w:t>CE/Europe</w:t>
            </w:r>
          </w:p>
        </w:tc>
        <w:tc>
          <w:tcPr>
            <w:tcW w:w="6030" w:type="dxa"/>
          </w:tcPr>
          <w:p>
            <w:pPr>
              <w:pStyle w:val="TableParagraph"/>
              <w:rPr>
                <w:sz w:val="20"/>
              </w:rPr>
            </w:pPr>
            <w:r>
              <w:rPr>
                <w:sz w:val="20"/>
              </w:rPr>
              <w:t>100-240VAC, 50-60Hz, primary (power supply not included)</w:t>
            </w:r>
          </w:p>
        </w:tc>
      </w:tr>
      <w:tr>
        <w:trPr>
          <w:trHeight w:val="311" w:hRule="atLeast"/>
        </w:trPr>
        <w:tc>
          <w:tcPr>
            <w:tcW w:w="3440" w:type="dxa"/>
          </w:tcPr>
          <w:p>
            <w:pPr>
              <w:pStyle w:val="TableParagraph"/>
              <w:spacing w:before="40"/>
              <w:rPr>
                <w:sz w:val="20"/>
              </w:rPr>
            </w:pPr>
            <w:r>
              <w:rPr>
                <w:sz w:val="20"/>
              </w:rPr>
              <w:t>Power Supply</w:t>
            </w:r>
          </w:p>
        </w:tc>
        <w:tc>
          <w:tcPr>
            <w:tcW w:w="6030" w:type="dxa"/>
          </w:tcPr>
          <w:p>
            <w:pPr>
              <w:pStyle w:val="TableParagraph"/>
              <w:spacing w:before="40"/>
              <w:rPr>
                <w:sz w:val="20"/>
              </w:rPr>
            </w:pPr>
            <w:r>
              <w:rPr>
                <w:sz w:val="20"/>
              </w:rPr>
              <w:t>R9120-5T 9-30VDC, 900mA Required</w:t>
            </w:r>
          </w:p>
        </w:tc>
      </w:tr>
      <w:tr>
        <w:trPr>
          <w:trHeight w:val="309" w:hRule="atLeast"/>
        </w:trPr>
        <w:tc>
          <w:tcPr>
            <w:tcW w:w="9470" w:type="dxa"/>
            <w:gridSpan w:val="2"/>
          </w:tcPr>
          <w:p>
            <w:pPr>
              <w:pStyle w:val="TableParagraph"/>
              <w:spacing w:before="36"/>
              <w:rPr>
                <w:b/>
                <w:sz w:val="20"/>
              </w:rPr>
            </w:pPr>
            <w:r>
              <w:rPr>
                <w:b/>
                <w:sz w:val="20"/>
              </w:rPr>
              <w:t>Communication</w:t>
            </w:r>
          </w:p>
        </w:tc>
      </w:tr>
      <w:tr>
        <w:trPr>
          <w:trHeight w:val="309" w:hRule="atLeast"/>
        </w:trPr>
        <w:tc>
          <w:tcPr>
            <w:tcW w:w="3440" w:type="dxa"/>
          </w:tcPr>
          <w:p>
            <w:pPr>
              <w:pStyle w:val="TableParagraph"/>
              <w:rPr>
                <w:sz w:val="20"/>
              </w:rPr>
            </w:pPr>
            <w:r>
              <w:rPr>
                <w:sz w:val="20"/>
              </w:rPr>
              <w:t>Protocols</w:t>
            </w:r>
          </w:p>
        </w:tc>
        <w:tc>
          <w:tcPr>
            <w:tcW w:w="6030" w:type="dxa"/>
          </w:tcPr>
          <w:p>
            <w:pPr>
              <w:pStyle w:val="TableParagraph"/>
              <w:rPr>
                <w:sz w:val="20"/>
              </w:rPr>
            </w:pPr>
            <w:r>
              <w:rPr>
                <w:sz w:val="20"/>
              </w:rPr>
              <w:t>Modbus RTU, 2-wire</w:t>
            </w:r>
          </w:p>
        </w:tc>
      </w:tr>
      <w:tr>
        <w:trPr>
          <w:trHeight w:val="311" w:hRule="atLeast"/>
        </w:trPr>
        <w:tc>
          <w:tcPr>
            <w:tcW w:w="3440" w:type="dxa"/>
          </w:tcPr>
          <w:p>
            <w:pPr>
              <w:pStyle w:val="TableParagraph"/>
              <w:spacing w:before="40"/>
              <w:rPr>
                <w:sz w:val="20"/>
              </w:rPr>
            </w:pPr>
            <w:r>
              <w:rPr>
                <w:sz w:val="20"/>
              </w:rPr>
              <w:t>R9120-5</w:t>
            </w:r>
          </w:p>
        </w:tc>
        <w:tc>
          <w:tcPr>
            <w:tcW w:w="6030" w:type="dxa"/>
          </w:tcPr>
          <w:p>
            <w:pPr>
              <w:pStyle w:val="TableParagraph"/>
              <w:spacing w:before="40"/>
              <w:rPr>
                <w:sz w:val="20"/>
              </w:rPr>
            </w:pPr>
            <w:r>
              <w:rPr>
                <w:sz w:val="20"/>
              </w:rPr>
              <w:t>900MHz, 1W, 3000ft (900m) indoor, 14 miles (22km) line of sight</w:t>
            </w:r>
          </w:p>
        </w:tc>
      </w:tr>
      <w:tr>
        <w:trPr>
          <w:trHeight w:val="309" w:hRule="atLeast"/>
        </w:trPr>
        <w:tc>
          <w:tcPr>
            <w:tcW w:w="3440" w:type="dxa"/>
          </w:tcPr>
          <w:p>
            <w:pPr>
              <w:pStyle w:val="TableParagraph"/>
              <w:rPr>
                <w:sz w:val="20"/>
              </w:rPr>
            </w:pPr>
            <w:r>
              <w:rPr>
                <w:sz w:val="20"/>
              </w:rPr>
              <w:t>Baud Rate</w:t>
            </w:r>
          </w:p>
        </w:tc>
        <w:tc>
          <w:tcPr>
            <w:tcW w:w="6030" w:type="dxa"/>
          </w:tcPr>
          <w:p>
            <w:pPr>
              <w:pStyle w:val="TableParagraph"/>
              <w:rPr>
                <w:sz w:val="20"/>
              </w:rPr>
            </w:pPr>
            <w:r>
              <w:rPr>
                <w:sz w:val="20"/>
              </w:rPr>
              <w:t>9600/19200 baud, N, 8, 1</w:t>
            </w:r>
          </w:p>
        </w:tc>
      </w:tr>
      <w:tr>
        <w:trPr>
          <w:trHeight w:val="309" w:hRule="atLeast"/>
        </w:trPr>
        <w:tc>
          <w:tcPr>
            <w:tcW w:w="3440" w:type="dxa"/>
          </w:tcPr>
          <w:p>
            <w:pPr>
              <w:pStyle w:val="TableParagraph"/>
              <w:rPr>
                <w:sz w:val="20"/>
              </w:rPr>
            </w:pPr>
            <w:r>
              <w:rPr>
                <w:sz w:val="20"/>
              </w:rPr>
              <w:t>Addressing</w:t>
            </w:r>
          </w:p>
        </w:tc>
        <w:tc>
          <w:tcPr>
            <w:tcW w:w="6030" w:type="dxa"/>
          </w:tcPr>
          <w:p>
            <w:pPr>
              <w:pStyle w:val="TableParagraph"/>
              <w:rPr>
                <w:sz w:val="20"/>
              </w:rPr>
            </w:pPr>
            <w:r>
              <w:rPr>
                <w:sz w:val="20"/>
              </w:rPr>
              <w:t>Modbus address may be set from 1 to 247 via dipswitch</w:t>
            </w:r>
          </w:p>
        </w:tc>
      </w:tr>
      <w:tr>
        <w:trPr>
          <w:trHeight w:val="539" w:hRule="atLeast"/>
        </w:trPr>
        <w:tc>
          <w:tcPr>
            <w:tcW w:w="3440" w:type="dxa"/>
          </w:tcPr>
          <w:p>
            <w:pPr>
              <w:pStyle w:val="TableParagraph"/>
              <w:rPr>
                <w:sz w:val="20"/>
              </w:rPr>
            </w:pPr>
            <w:r>
              <w:rPr>
                <w:sz w:val="20"/>
              </w:rPr>
              <w:t>RF</w:t>
            </w:r>
          </w:p>
        </w:tc>
        <w:tc>
          <w:tcPr>
            <w:tcW w:w="6030" w:type="dxa"/>
          </w:tcPr>
          <w:p>
            <w:pPr>
              <w:pStyle w:val="TableParagraph"/>
              <w:rPr>
                <w:sz w:val="20"/>
              </w:rPr>
            </w:pPr>
            <w:r>
              <w:rPr>
                <w:sz w:val="20"/>
              </w:rPr>
              <w:t>Frequency hopping, spread spectrum (FHSS), ISM band (see table)</w:t>
            </w:r>
          </w:p>
        </w:tc>
      </w:tr>
      <w:tr>
        <w:trPr>
          <w:trHeight w:val="311" w:hRule="atLeast"/>
        </w:trPr>
        <w:tc>
          <w:tcPr>
            <w:tcW w:w="9470" w:type="dxa"/>
            <w:gridSpan w:val="2"/>
          </w:tcPr>
          <w:p>
            <w:pPr>
              <w:pStyle w:val="TableParagraph"/>
              <w:rPr>
                <w:b/>
                <w:sz w:val="20"/>
              </w:rPr>
            </w:pPr>
            <w:r>
              <w:rPr>
                <w:b/>
                <w:sz w:val="20"/>
              </w:rPr>
              <w:t>I/O</w:t>
            </w:r>
          </w:p>
        </w:tc>
      </w:tr>
      <w:tr>
        <w:trPr>
          <w:trHeight w:val="2201" w:hRule="atLeast"/>
        </w:trPr>
        <w:tc>
          <w:tcPr>
            <w:tcW w:w="9470" w:type="dxa"/>
            <w:gridSpan w:val="2"/>
          </w:tcPr>
          <w:p>
            <w:pPr>
              <w:pStyle w:val="TableParagraph"/>
              <w:spacing w:line="280" w:lineRule="auto"/>
              <w:ind w:right="847"/>
              <w:rPr>
                <w:sz w:val="20"/>
              </w:rPr>
            </w:pPr>
            <w:r>
              <w:rPr>
                <w:sz w:val="20"/>
              </w:rPr>
              <w:t>I/O 2x Pulse, dry contact, standard or KYZ, closure threshold 100Ω to 2.5Ω user selectable Pulse Rate User selectable to 10Hz, 50Hz, 100Hz, 250Hz</w:t>
            </w:r>
          </w:p>
          <w:p>
            <w:pPr>
              <w:pStyle w:val="TableParagraph"/>
              <w:numPr>
                <w:ilvl w:val="0"/>
                <w:numId w:val="22"/>
              </w:numPr>
              <w:tabs>
                <w:tab w:pos="233" w:val="left" w:leader="none"/>
              </w:tabs>
              <w:spacing w:line="240" w:lineRule="auto" w:before="1" w:after="0"/>
              <w:ind w:left="107" w:right="0" w:firstLine="0"/>
              <w:jc w:val="left"/>
              <w:rPr>
                <w:sz w:val="20"/>
              </w:rPr>
            </w:pPr>
            <w:r>
              <w:rPr>
                <w:sz w:val="20"/>
              </w:rPr>
              <w:t>Pulse rate option 10Hz, minimum pulse width</w:t>
            </w:r>
            <w:r>
              <w:rPr>
                <w:spacing w:val="-26"/>
                <w:sz w:val="20"/>
              </w:rPr>
              <w:t> </w:t>
            </w:r>
            <w:r>
              <w:rPr>
                <w:sz w:val="20"/>
              </w:rPr>
              <w:t>50ms</w:t>
            </w:r>
          </w:p>
          <w:p>
            <w:pPr>
              <w:pStyle w:val="TableParagraph"/>
              <w:numPr>
                <w:ilvl w:val="0"/>
                <w:numId w:val="22"/>
              </w:numPr>
              <w:tabs>
                <w:tab w:pos="233" w:val="left" w:leader="none"/>
              </w:tabs>
              <w:spacing w:line="240" w:lineRule="auto" w:before="40" w:after="0"/>
              <w:ind w:left="107" w:right="0" w:firstLine="0"/>
              <w:jc w:val="left"/>
              <w:rPr>
                <w:sz w:val="20"/>
              </w:rPr>
            </w:pPr>
            <w:r>
              <w:rPr>
                <w:sz w:val="20"/>
              </w:rPr>
              <w:t>Pulse rate option 50Hz, minimum pulse width</w:t>
            </w:r>
            <w:r>
              <w:rPr>
                <w:spacing w:val="-26"/>
                <w:sz w:val="20"/>
              </w:rPr>
              <w:t> </w:t>
            </w:r>
            <w:r>
              <w:rPr>
                <w:sz w:val="20"/>
              </w:rPr>
              <w:t>10ms</w:t>
            </w:r>
          </w:p>
          <w:p>
            <w:pPr>
              <w:pStyle w:val="TableParagraph"/>
              <w:numPr>
                <w:ilvl w:val="0"/>
                <w:numId w:val="22"/>
              </w:numPr>
              <w:tabs>
                <w:tab w:pos="233" w:val="left" w:leader="none"/>
              </w:tabs>
              <w:spacing w:line="240" w:lineRule="auto" w:before="41" w:after="0"/>
              <w:ind w:left="107" w:right="0" w:firstLine="0"/>
              <w:jc w:val="left"/>
              <w:rPr>
                <w:sz w:val="20"/>
              </w:rPr>
            </w:pPr>
            <w:r>
              <w:rPr>
                <w:sz w:val="20"/>
              </w:rPr>
              <w:t>Pulse rate option 100Hz, minimum pulse width</w:t>
            </w:r>
            <w:r>
              <w:rPr>
                <w:spacing w:val="-23"/>
                <w:sz w:val="20"/>
              </w:rPr>
              <w:t> </w:t>
            </w:r>
            <w:r>
              <w:rPr>
                <w:sz w:val="20"/>
              </w:rPr>
              <w:t>5ms</w:t>
            </w:r>
          </w:p>
          <w:p>
            <w:pPr>
              <w:pStyle w:val="TableParagraph"/>
              <w:numPr>
                <w:ilvl w:val="0"/>
                <w:numId w:val="22"/>
              </w:numPr>
              <w:tabs>
                <w:tab w:pos="233" w:val="left" w:leader="none"/>
              </w:tabs>
              <w:spacing w:line="283" w:lineRule="auto" w:before="39" w:after="0"/>
              <w:ind w:left="107" w:right="4696" w:firstLine="0"/>
              <w:jc w:val="left"/>
              <w:rPr>
                <w:sz w:val="20"/>
              </w:rPr>
            </w:pPr>
            <w:r>
              <w:rPr>
                <w:sz w:val="20"/>
              </w:rPr>
              <w:t>Pulse rate option 250Hz, minimum pulse width 2m</w:t>
            </w:r>
            <w:r>
              <w:rPr>
                <w:sz w:val="16"/>
              </w:rPr>
              <w:t>s </w:t>
            </w:r>
            <w:r>
              <w:rPr>
                <w:sz w:val="20"/>
              </w:rPr>
              <w:t>Storage Pulse counts stored in non-volatile</w:t>
            </w:r>
            <w:r>
              <w:rPr>
                <w:spacing w:val="-8"/>
                <w:sz w:val="20"/>
              </w:rPr>
              <w:t> </w:t>
            </w:r>
            <w:r>
              <w:rPr>
                <w:sz w:val="20"/>
              </w:rPr>
              <w:t>memory</w:t>
            </w:r>
          </w:p>
          <w:p>
            <w:pPr>
              <w:pStyle w:val="TableParagraph"/>
              <w:spacing w:line="227" w:lineRule="exact" w:before="0"/>
              <w:rPr>
                <w:sz w:val="20"/>
              </w:rPr>
            </w:pPr>
            <w:r>
              <w:rPr>
                <w:sz w:val="20"/>
              </w:rPr>
              <w:t>ModBus RTU, 2-wire, hard-wire connect up to 32 devices (expandable)</w:t>
            </w:r>
          </w:p>
        </w:tc>
      </w:tr>
      <w:tr>
        <w:trPr>
          <w:trHeight w:val="309" w:hRule="atLeast"/>
        </w:trPr>
        <w:tc>
          <w:tcPr>
            <w:tcW w:w="9470" w:type="dxa"/>
            <w:gridSpan w:val="2"/>
          </w:tcPr>
          <w:p>
            <w:pPr>
              <w:pStyle w:val="TableParagraph"/>
              <w:spacing w:before="35"/>
              <w:rPr>
                <w:b/>
                <w:sz w:val="20"/>
              </w:rPr>
            </w:pPr>
            <w:r>
              <w:rPr>
                <w:b/>
                <w:sz w:val="20"/>
              </w:rPr>
              <w:t>Physical</w:t>
            </w:r>
          </w:p>
        </w:tc>
      </w:tr>
      <w:tr>
        <w:trPr>
          <w:trHeight w:val="309" w:hRule="atLeast"/>
        </w:trPr>
        <w:tc>
          <w:tcPr>
            <w:tcW w:w="3440" w:type="dxa"/>
          </w:tcPr>
          <w:p>
            <w:pPr>
              <w:pStyle w:val="TableParagraph"/>
              <w:rPr>
                <w:sz w:val="20"/>
              </w:rPr>
            </w:pPr>
            <w:r>
              <w:rPr>
                <w:sz w:val="20"/>
              </w:rPr>
              <w:t>Weight</w:t>
            </w:r>
          </w:p>
        </w:tc>
        <w:tc>
          <w:tcPr>
            <w:tcW w:w="6030" w:type="dxa"/>
          </w:tcPr>
          <w:p>
            <w:pPr>
              <w:pStyle w:val="TableParagraph"/>
              <w:rPr>
                <w:sz w:val="20"/>
              </w:rPr>
            </w:pPr>
            <w:r>
              <w:rPr>
                <w:sz w:val="20"/>
              </w:rPr>
              <w:t>1.25lbs (0.67 kg)</w:t>
            </w:r>
          </w:p>
        </w:tc>
      </w:tr>
      <w:tr>
        <w:trPr>
          <w:trHeight w:val="311" w:hRule="atLeast"/>
        </w:trPr>
        <w:tc>
          <w:tcPr>
            <w:tcW w:w="3440" w:type="dxa"/>
          </w:tcPr>
          <w:p>
            <w:pPr>
              <w:pStyle w:val="TableParagraph"/>
              <w:rPr>
                <w:sz w:val="20"/>
              </w:rPr>
            </w:pPr>
            <w:r>
              <w:rPr>
                <w:sz w:val="20"/>
              </w:rPr>
              <w:t>Size</w:t>
            </w:r>
          </w:p>
        </w:tc>
        <w:tc>
          <w:tcPr>
            <w:tcW w:w="6030" w:type="dxa"/>
          </w:tcPr>
          <w:p>
            <w:pPr>
              <w:pStyle w:val="TableParagraph"/>
              <w:rPr>
                <w:sz w:val="20"/>
              </w:rPr>
            </w:pPr>
            <w:r>
              <w:rPr>
                <w:sz w:val="20"/>
              </w:rPr>
              <w:t>6.5" x 4.5" x 2" (260mm x 64mm x 45mm)</w:t>
            </w:r>
          </w:p>
        </w:tc>
      </w:tr>
      <w:tr>
        <w:trPr>
          <w:trHeight w:val="309" w:hRule="atLeast"/>
        </w:trPr>
        <w:tc>
          <w:tcPr>
            <w:tcW w:w="9470" w:type="dxa"/>
            <w:gridSpan w:val="2"/>
          </w:tcPr>
          <w:p>
            <w:pPr>
              <w:pStyle w:val="TableParagraph"/>
              <w:spacing w:before="35"/>
              <w:rPr>
                <w:b/>
                <w:sz w:val="20"/>
              </w:rPr>
            </w:pPr>
            <w:r>
              <w:rPr>
                <w:b/>
                <w:sz w:val="20"/>
              </w:rPr>
              <w:t>Environment</w:t>
            </w:r>
          </w:p>
        </w:tc>
      </w:tr>
    </w:tbl>
    <w:p>
      <w:pPr>
        <w:spacing w:after="0"/>
        <w:rPr>
          <w:sz w:val="20"/>
        </w:rPr>
        <w:sectPr>
          <w:footerReference w:type="default" r:id="rId42"/>
          <w:pgSz w:w="12240" w:h="15840"/>
          <w:pgMar w:footer="1020" w:header="724" w:top="1220" w:bottom="1220" w:left="860" w:right="680"/>
          <w:pgNumType w:start="1"/>
        </w:sectPr>
      </w:pPr>
    </w:p>
    <w:p>
      <w:pPr>
        <w:pStyle w:val="BodyText"/>
        <w:spacing w:before="10"/>
        <w:rPr>
          <w:rFonts w:ascii="Times New Roman"/>
          <w:sz w:val="18"/>
        </w:rPr>
      </w:pPr>
    </w:p>
    <w:tbl>
      <w:tblPr>
        <w:tblW w:w="0" w:type="auto"/>
        <w:jc w:val="left"/>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40"/>
        <w:gridCol w:w="6030"/>
      </w:tblGrid>
      <w:tr>
        <w:trPr>
          <w:trHeight w:val="811" w:hRule="atLeast"/>
        </w:trPr>
        <w:tc>
          <w:tcPr>
            <w:tcW w:w="3440" w:type="dxa"/>
          </w:tcPr>
          <w:p>
            <w:pPr>
              <w:pStyle w:val="TableParagraph"/>
              <w:rPr>
                <w:sz w:val="20"/>
              </w:rPr>
            </w:pPr>
            <w:r>
              <w:rPr>
                <w:sz w:val="20"/>
              </w:rPr>
              <w:t>North America</w:t>
            </w:r>
          </w:p>
        </w:tc>
        <w:tc>
          <w:tcPr>
            <w:tcW w:w="6030" w:type="dxa"/>
          </w:tcPr>
          <w:p>
            <w:pPr>
              <w:pStyle w:val="TableParagraph"/>
              <w:ind w:right="190"/>
              <w:rPr>
                <w:sz w:val="20"/>
              </w:rPr>
            </w:pPr>
            <w:r>
              <w:rPr>
                <w:sz w:val="20"/>
              </w:rPr>
              <w:t>-30 to 70C, 0-90% RH, non-condensing (-T version only, R9120- 5T)</w:t>
            </w:r>
          </w:p>
          <w:p>
            <w:pPr>
              <w:pStyle w:val="TableParagraph"/>
              <w:spacing w:before="39"/>
              <w:rPr>
                <w:sz w:val="20"/>
              </w:rPr>
            </w:pPr>
            <w:r>
              <w:rPr>
                <w:sz w:val="20"/>
              </w:rPr>
              <w:t>0 to 50C, 0-90% RH, non-condensing</w:t>
            </w:r>
          </w:p>
        </w:tc>
      </w:tr>
      <w:tr>
        <w:trPr>
          <w:trHeight w:val="309" w:hRule="atLeast"/>
        </w:trPr>
        <w:tc>
          <w:tcPr>
            <w:tcW w:w="3440" w:type="dxa"/>
          </w:tcPr>
          <w:p>
            <w:pPr>
              <w:pStyle w:val="TableParagraph"/>
              <w:rPr>
                <w:sz w:val="20"/>
              </w:rPr>
            </w:pPr>
            <w:r>
              <w:rPr>
                <w:sz w:val="20"/>
              </w:rPr>
              <w:t>CE/Europe</w:t>
            </w:r>
          </w:p>
        </w:tc>
        <w:tc>
          <w:tcPr>
            <w:tcW w:w="6030" w:type="dxa"/>
          </w:tcPr>
          <w:p>
            <w:pPr>
              <w:pStyle w:val="TableParagraph"/>
              <w:rPr>
                <w:sz w:val="20"/>
              </w:rPr>
            </w:pPr>
            <w:r>
              <w:rPr>
                <w:sz w:val="20"/>
              </w:rPr>
              <w:t>5 to 40C, 0-90% RH, non-condensing</w:t>
            </w:r>
          </w:p>
        </w:tc>
      </w:tr>
      <w:tr>
        <w:trPr>
          <w:trHeight w:val="309" w:hRule="atLeast"/>
        </w:trPr>
        <w:tc>
          <w:tcPr>
            <w:tcW w:w="3440" w:type="dxa"/>
          </w:tcPr>
          <w:p>
            <w:pPr>
              <w:pStyle w:val="TableParagraph"/>
              <w:rPr>
                <w:sz w:val="20"/>
              </w:rPr>
            </w:pPr>
            <w:r>
              <w:rPr>
                <w:sz w:val="20"/>
              </w:rPr>
              <w:t>Altitude</w:t>
            </w:r>
          </w:p>
        </w:tc>
        <w:tc>
          <w:tcPr>
            <w:tcW w:w="6030" w:type="dxa"/>
          </w:tcPr>
          <w:p>
            <w:pPr>
              <w:pStyle w:val="TableParagraph"/>
              <w:rPr>
                <w:sz w:val="20"/>
              </w:rPr>
            </w:pPr>
            <w:r>
              <w:rPr>
                <w:sz w:val="20"/>
              </w:rPr>
              <w:t>2000M max</w:t>
            </w:r>
          </w:p>
        </w:tc>
      </w:tr>
      <w:tr>
        <w:trPr>
          <w:trHeight w:val="580" w:hRule="atLeast"/>
        </w:trPr>
        <w:tc>
          <w:tcPr>
            <w:tcW w:w="3440" w:type="dxa"/>
          </w:tcPr>
          <w:p>
            <w:pPr>
              <w:pStyle w:val="TableParagraph"/>
              <w:rPr>
                <w:sz w:val="20"/>
              </w:rPr>
            </w:pPr>
            <w:r>
              <w:rPr>
                <w:sz w:val="20"/>
              </w:rPr>
              <w:t>Pollution</w:t>
            </w:r>
          </w:p>
        </w:tc>
        <w:tc>
          <w:tcPr>
            <w:tcW w:w="6030" w:type="dxa"/>
          </w:tcPr>
          <w:p>
            <w:pPr>
              <w:pStyle w:val="TableParagraph"/>
              <w:rPr>
                <w:sz w:val="20"/>
              </w:rPr>
            </w:pPr>
            <w:r>
              <w:rPr>
                <w:sz w:val="20"/>
              </w:rPr>
              <w:t>Degree 2</w:t>
            </w:r>
          </w:p>
        </w:tc>
      </w:tr>
      <w:tr>
        <w:trPr>
          <w:trHeight w:val="309" w:hRule="atLeast"/>
        </w:trPr>
        <w:tc>
          <w:tcPr>
            <w:tcW w:w="9470" w:type="dxa"/>
            <w:gridSpan w:val="2"/>
          </w:tcPr>
          <w:p>
            <w:pPr>
              <w:pStyle w:val="TableParagraph"/>
              <w:spacing w:before="35"/>
              <w:rPr>
                <w:b/>
                <w:sz w:val="20"/>
              </w:rPr>
            </w:pPr>
            <w:r>
              <w:rPr>
                <w:b/>
                <w:sz w:val="20"/>
              </w:rPr>
              <w:t>Codes and Standards</w:t>
            </w:r>
          </w:p>
        </w:tc>
      </w:tr>
      <w:tr>
        <w:trPr>
          <w:trHeight w:val="580" w:hRule="atLeast"/>
        </w:trPr>
        <w:tc>
          <w:tcPr>
            <w:tcW w:w="9470" w:type="dxa"/>
            <w:gridSpan w:val="2"/>
          </w:tcPr>
          <w:p>
            <w:pPr>
              <w:pStyle w:val="TableParagraph"/>
              <w:spacing w:before="40"/>
              <w:rPr>
                <w:sz w:val="20"/>
              </w:rPr>
            </w:pPr>
            <w:r>
              <w:rPr>
                <w:sz w:val="20"/>
              </w:rPr>
              <w:t>FCC ID OUR-9XTEND</w:t>
            </w:r>
          </w:p>
          <w:p>
            <w:pPr>
              <w:pStyle w:val="TableParagraph"/>
              <w:spacing w:before="39"/>
              <w:rPr>
                <w:sz w:val="20"/>
              </w:rPr>
            </w:pPr>
            <w:r>
              <w:rPr>
                <w:sz w:val="20"/>
              </w:rPr>
              <w:t>IC (Industry Canada) IC 4214A-9XTEND; FCC CFR 47 Part 15, Class A</w:t>
            </w:r>
          </w:p>
        </w:tc>
      </w:tr>
      <w:tr>
        <w:trPr>
          <w:trHeight w:val="311" w:hRule="atLeast"/>
        </w:trPr>
        <w:tc>
          <w:tcPr>
            <w:tcW w:w="9470" w:type="dxa"/>
            <w:gridSpan w:val="2"/>
          </w:tcPr>
          <w:p>
            <w:pPr>
              <w:pStyle w:val="TableParagraph"/>
              <w:spacing w:before="35"/>
              <w:rPr>
                <w:b/>
                <w:sz w:val="20"/>
              </w:rPr>
            </w:pPr>
            <w:r>
              <w:rPr>
                <w:b/>
                <w:sz w:val="20"/>
              </w:rPr>
              <w:t>NEMA enclosures available</w:t>
            </w:r>
          </w:p>
        </w:tc>
      </w:tr>
    </w:tbl>
    <w:p>
      <w:pPr>
        <w:spacing w:after="0"/>
        <w:rPr>
          <w:sz w:val="20"/>
        </w:rPr>
        <w:sectPr>
          <w:pgSz w:w="12240" w:h="15840"/>
          <w:pgMar w:header="724" w:footer="1020" w:top="1220" w:bottom="1220" w:left="860" w:right="680"/>
        </w:sectPr>
      </w:pPr>
    </w:p>
    <w:p>
      <w:pPr>
        <w:pStyle w:val="BodyText"/>
        <w:spacing w:before="8"/>
        <w:rPr>
          <w:rFonts w:ascii="Times New Roman"/>
          <w:sz w:val="19"/>
        </w:rPr>
      </w:pPr>
    </w:p>
    <w:p>
      <w:pPr>
        <w:pStyle w:val="BodyText"/>
        <w:ind w:left="551"/>
        <w:rPr>
          <w:rFonts w:ascii="Times New Roman"/>
          <w:sz w:val="20"/>
        </w:rPr>
      </w:pPr>
      <w:r>
        <w:rPr>
          <w:rFonts w:ascii="Times New Roman"/>
          <w:sz w:val="20"/>
        </w:rPr>
        <w:pict>
          <v:shape style="width:471pt;height:18.150pt;mso-position-horizontal-relative:char;mso-position-vertical-relative:line" type="#_x0000_t202" filled="true" fillcolor="#d9d9d9" stroked="false">
            <w10:anchorlock/>
            <v:textbox inset="0,0,0,0">
              <w:txbxContent>
                <w:p>
                  <w:pPr>
                    <w:spacing w:before="18"/>
                    <w:ind w:left="28" w:right="0" w:firstLine="0"/>
                    <w:jc w:val="left"/>
                    <w:rPr>
                      <w:b/>
                      <w:sz w:val="28"/>
                    </w:rPr>
                  </w:pPr>
                  <w:bookmarkStart w:name="_bookmark47" w:id="81"/>
                  <w:bookmarkEnd w:id="81"/>
                  <w:r>
                    <w:rPr/>
                  </w:r>
                  <w:r>
                    <w:rPr>
                      <w:b/>
                      <w:sz w:val="28"/>
                    </w:rPr>
                    <w:t>Appendix D – SAMPLE Justification and Accountability (J&amp;A)</w:t>
                  </w:r>
                </w:p>
              </w:txbxContent>
            </v:textbox>
            <v:fill type="solid"/>
          </v:shape>
        </w:pict>
      </w:r>
      <w:r>
        <w:rPr>
          <w:rFonts w:ascii="Times New Roman"/>
          <w:sz w:val="20"/>
        </w:rPr>
      </w:r>
    </w:p>
    <w:p>
      <w:pPr>
        <w:pStyle w:val="BodyText"/>
        <w:spacing w:before="9"/>
        <w:rPr>
          <w:rFonts w:ascii="Times New Roman"/>
          <w:sz w:val="25"/>
        </w:rPr>
      </w:pPr>
    </w:p>
    <w:p>
      <w:pPr>
        <w:pStyle w:val="BodyText"/>
        <w:spacing w:line="276" w:lineRule="auto" w:before="94"/>
        <w:ind w:left="580" w:right="879"/>
      </w:pPr>
      <w:r>
        <w:rPr/>
        <w:pict>
          <v:line style="position:absolute;mso-position-horizontal-relative:page;mso-position-vertical-relative:paragraph;z-index:2752" from="70.584pt,-34.562138pt" to="541.564pt,-34.562138pt" stroked="true" strokeweight=".48pt" strokecolor="#808080">
            <v:stroke dashstyle="solid"/>
            <w10:wrap type="none"/>
          </v:line>
        </w:pict>
      </w:r>
      <w:r>
        <w:rPr/>
        <w:pict>
          <v:line style="position:absolute;mso-position-horizontal-relative:page;mso-position-vertical-relative:paragraph;z-index:2776" from="70.584pt,-15.942136pt" to="541.564pt,-15.942136pt" stroked="true" strokeweight=".48pt" strokecolor="#808080">
            <v:stroke dashstyle="solid"/>
            <w10:wrap type="none"/>
          </v:line>
        </w:pict>
      </w:r>
      <w:r>
        <w:rPr/>
        <w:t>Pursuant to the requirements of the Competition in Contracting Act (CICA) as implemented by the Federal Acquisition Regulation (FAR) Subpart 6.3 and in accordance with the requirements of FAR 6.303-1, the justification for the use of the statutory authority under FAR Subpart 6.3 is justified by the following facts and rationale required under FAR 6.303-2 as follows:</w:t>
      </w:r>
    </w:p>
    <w:p>
      <w:pPr>
        <w:pStyle w:val="ListParagraph"/>
        <w:numPr>
          <w:ilvl w:val="0"/>
          <w:numId w:val="23"/>
        </w:numPr>
        <w:tabs>
          <w:tab w:pos="831" w:val="left" w:leader="none"/>
        </w:tabs>
        <w:spacing w:line="276" w:lineRule="auto" w:before="118" w:after="0"/>
        <w:ind w:left="580" w:right="771" w:firstLine="0"/>
        <w:jc w:val="left"/>
        <w:rPr>
          <w:sz w:val="22"/>
        </w:rPr>
      </w:pPr>
      <w:r>
        <w:rPr>
          <w:b/>
          <w:sz w:val="22"/>
          <w:u w:val="thick"/>
        </w:rPr>
        <w:t>Agency and Contracting Activity</w:t>
      </w:r>
      <w:r>
        <w:rPr>
          <w:b/>
          <w:sz w:val="22"/>
        </w:rPr>
        <w:t> </w:t>
      </w:r>
      <w:r>
        <w:rPr>
          <w:sz w:val="22"/>
        </w:rPr>
        <w:t>- DHS, U.S. Coast Guard, Formal Contracts Division VII, CG-9127 proposes to enter into a contract on the basis of other than full and open competition and presents this Justification and Approval for Other Than Full and Open Competition (J&amp;A) for review and</w:t>
      </w:r>
      <w:r>
        <w:rPr>
          <w:spacing w:val="-4"/>
          <w:sz w:val="22"/>
        </w:rPr>
        <w:t> </w:t>
      </w:r>
      <w:r>
        <w:rPr>
          <w:sz w:val="22"/>
        </w:rPr>
        <w:t>approval.</w:t>
      </w:r>
    </w:p>
    <w:p>
      <w:pPr>
        <w:pStyle w:val="ListParagraph"/>
        <w:numPr>
          <w:ilvl w:val="0"/>
          <w:numId w:val="23"/>
        </w:numPr>
        <w:tabs>
          <w:tab w:pos="828" w:val="left" w:leader="none"/>
        </w:tabs>
        <w:spacing w:line="276" w:lineRule="auto" w:before="120" w:after="0"/>
        <w:ind w:left="580" w:right="822" w:firstLine="0"/>
        <w:jc w:val="left"/>
        <w:rPr>
          <w:sz w:val="22"/>
        </w:rPr>
      </w:pPr>
      <w:r>
        <w:rPr>
          <w:b/>
          <w:sz w:val="22"/>
          <w:u w:val="thick"/>
        </w:rPr>
        <w:t>Nature and/or Description of Action being Approved</w:t>
      </w:r>
      <w:r>
        <w:rPr>
          <w:b/>
          <w:sz w:val="22"/>
        </w:rPr>
        <w:t> </w:t>
      </w:r>
      <w:r>
        <w:rPr>
          <w:sz w:val="22"/>
        </w:rPr>
        <w:t>– Approval is requested to solicit, on a sole-source basis, procurement of a data acquisition server, specifically AcquiSuite, listed in paragraph three (3) of this J&amp;A and Section 2.2.5.3 of the Advanced Metering Infrastructure Configuration Standard Technical Order (AMI CSTO) for Advanced Metering Systems. The proposed vendor is Obvius, LLC 3300 </w:t>
      </w:r>
      <w:r>
        <w:rPr>
          <w:spacing w:val="-3"/>
          <w:sz w:val="22"/>
        </w:rPr>
        <w:t>NW </w:t>
      </w:r>
      <w:r>
        <w:rPr>
          <w:sz w:val="22"/>
        </w:rPr>
        <w:t>211th Terrace Hillsboro, OR</w:t>
      </w:r>
      <w:r>
        <w:rPr>
          <w:spacing w:val="-3"/>
          <w:sz w:val="22"/>
        </w:rPr>
        <w:t> </w:t>
      </w:r>
      <w:r>
        <w:rPr>
          <w:sz w:val="22"/>
        </w:rPr>
        <w:t>97124.</w:t>
      </w:r>
    </w:p>
    <w:p>
      <w:pPr>
        <w:pStyle w:val="BodyText"/>
        <w:spacing w:line="276" w:lineRule="auto" w:before="123"/>
        <w:ind w:left="580" w:right="953"/>
      </w:pPr>
      <w:r>
        <w:rPr/>
        <w:t>A firm-fixed price contract is anticipated, with an estimate of $XX.XX ea, using Operations and Maintenance funds. In accordance with the USCG Component of the DHS Metering Plan, it is anticipated that in the next 5 years approximately 300 AcquiSuites will be installed for an estimated total of $XX.XX.</w:t>
      </w:r>
    </w:p>
    <w:p>
      <w:pPr>
        <w:pStyle w:val="ListParagraph"/>
        <w:numPr>
          <w:ilvl w:val="0"/>
          <w:numId w:val="23"/>
        </w:numPr>
        <w:tabs>
          <w:tab w:pos="828" w:val="left" w:leader="none"/>
        </w:tabs>
        <w:spacing w:line="278" w:lineRule="auto" w:before="118" w:after="0"/>
        <w:ind w:left="580" w:right="920" w:firstLine="0"/>
        <w:jc w:val="left"/>
        <w:rPr>
          <w:sz w:val="22"/>
        </w:rPr>
      </w:pPr>
      <w:r>
        <w:rPr>
          <w:b/>
          <w:sz w:val="22"/>
          <w:u w:val="thick"/>
        </w:rPr>
        <w:t>Description of Supplies/Services</w:t>
      </w:r>
      <w:r>
        <w:rPr>
          <w:b/>
          <w:sz w:val="22"/>
        </w:rPr>
        <w:t> </w:t>
      </w:r>
      <w:r>
        <w:rPr>
          <w:sz w:val="22"/>
        </w:rPr>
        <w:t>– This requirement is to provide Obvius AcquiSuite Data Acquisition Servers as part of the Advanced Metering Infrastructure Equipment</w:t>
      </w:r>
      <w:r>
        <w:rPr>
          <w:spacing w:val="-18"/>
          <w:sz w:val="22"/>
        </w:rPr>
        <w:t> </w:t>
      </w:r>
      <w:r>
        <w:rPr>
          <w:sz w:val="22"/>
        </w:rPr>
        <w:t>Components.</w:t>
      </w:r>
    </w:p>
    <w:p>
      <w:pPr>
        <w:pStyle w:val="BodyText"/>
        <w:spacing w:line="276" w:lineRule="auto" w:before="119"/>
        <w:ind w:left="580" w:right="1386"/>
        <w:jc w:val="both"/>
      </w:pPr>
      <w:r>
        <w:rPr/>
        <w:t>The purpose of this Justification is to provide for the continued advanced metering system operation for existing and new systems by ensuring metering equipment compatibility and interoperability with the Coast Guard Network- CGOneNET.</w:t>
      </w:r>
    </w:p>
    <w:p>
      <w:pPr>
        <w:pStyle w:val="BodyText"/>
        <w:spacing w:line="276" w:lineRule="auto" w:before="118"/>
        <w:ind w:left="580" w:right="843"/>
      </w:pPr>
      <w:r>
        <w:rPr/>
        <w:t>The Coast Guard Utility Advanced Metering infrastructure is based on and requires to be compatible with the USCG approved Data Acquisition Server (DAS) AcquiSuite by Obvius, LLC which collects data from advanced meters that support existing electric and water meters but also support gas and steam utilities, thereby allowing the Coast Guard to incorporate all utilities into an utilities enterprise monitoring system.</w:t>
      </w:r>
    </w:p>
    <w:p>
      <w:pPr>
        <w:pStyle w:val="BodyText"/>
        <w:spacing w:before="120"/>
        <w:ind w:left="580"/>
      </w:pPr>
      <w:r>
        <w:rPr/>
        <w:t>Obvius, LLC is the only source qualified to fulfill this requirement.</w:t>
      </w:r>
    </w:p>
    <w:p>
      <w:pPr>
        <w:pStyle w:val="BodyText"/>
        <w:spacing w:before="9"/>
        <w:rPr>
          <w:sz w:val="21"/>
        </w:rPr>
      </w:pPr>
    </w:p>
    <w:p>
      <w:pPr>
        <w:pStyle w:val="Heading3"/>
        <w:ind w:left="580"/>
      </w:pPr>
      <w:r>
        <w:rPr/>
        <w:t>AcquiSuite – Data Acquisition Server – Model A8812 – Manufactured by Obvius, LLC</w:t>
      </w:r>
    </w:p>
    <w:p>
      <w:pPr>
        <w:pStyle w:val="BodyText"/>
        <w:spacing w:before="1"/>
        <w:rPr>
          <w:b/>
        </w:rPr>
      </w:pPr>
    </w:p>
    <w:p>
      <w:pPr>
        <w:pStyle w:val="ListParagraph"/>
        <w:numPr>
          <w:ilvl w:val="0"/>
          <w:numId w:val="23"/>
        </w:numPr>
        <w:tabs>
          <w:tab w:pos="826" w:val="left" w:leader="none"/>
        </w:tabs>
        <w:spacing w:line="240" w:lineRule="auto" w:before="0" w:after="0"/>
        <w:ind w:left="580" w:right="788" w:firstLine="0"/>
        <w:jc w:val="left"/>
        <w:rPr>
          <w:sz w:val="22"/>
        </w:rPr>
      </w:pPr>
      <w:r>
        <w:rPr>
          <w:b/>
          <w:sz w:val="22"/>
          <w:u w:val="thick"/>
        </w:rPr>
        <w:t>Identification of Statutory Authority Permitting Other than Full and Open Competition</w:t>
      </w:r>
      <w:r>
        <w:rPr>
          <w:b/>
          <w:sz w:val="22"/>
        </w:rPr>
        <w:t> </w:t>
      </w:r>
      <w:r>
        <w:rPr>
          <w:sz w:val="22"/>
        </w:rPr>
        <w:t>– The statutory authority permitting other than full and open competition is 10 USC 2304 (c)(1)(for USCG) or 41 U&gt;S&gt;C.3304(a)(1)(for other Components) implemented for the FAR Subpart 6.302-1 entitled ;only One Responsible Source and No Other Supplies or Services will Satisfy Agency Requirements.” This justification is applicable and limited to specifically the item described above. This justification is limited to the OEM or OEM approved source. Obvius, LLC is the OEM for this item and the only known source of</w:t>
      </w:r>
      <w:r>
        <w:rPr>
          <w:spacing w:val="-16"/>
          <w:sz w:val="22"/>
        </w:rPr>
        <w:t> </w:t>
      </w:r>
      <w:r>
        <w:rPr>
          <w:sz w:val="22"/>
        </w:rPr>
        <w:t>supply.</w:t>
      </w:r>
    </w:p>
    <w:p>
      <w:pPr>
        <w:pStyle w:val="BodyText"/>
        <w:spacing w:before="3"/>
        <w:rPr>
          <w:sz w:val="25"/>
        </w:rPr>
      </w:pPr>
    </w:p>
    <w:p>
      <w:pPr>
        <w:pStyle w:val="ListParagraph"/>
        <w:numPr>
          <w:ilvl w:val="0"/>
          <w:numId w:val="23"/>
        </w:numPr>
        <w:tabs>
          <w:tab w:pos="828" w:val="left" w:leader="none"/>
        </w:tabs>
        <w:spacing w:line="240" w:lineRule="auto" w:before="1" w:after="0"/>
        <w:ind w:left="827" w:right="0" w:hanging="247"/>
        <w:jc w:val="left"/>
        <w:rPr>
          <w:b/>
          <w:sz w:val="22"/>
        </w:rPr>
      </w:pPr>
      <w:r>
        <w:rPr>
          <w:b/>
          <w:sz w:val="22"/>
          <w:u w:val="thick"/>
        </w:rPr>
        <w:t>Demonstration that the Nature of the Acquisition Requires Use of the Authority</w:t>
      </w:r>
      <w:r>
        <w:rPr>
          <w:b/>
          <w:spacing w:val="-15"/>
          <w:sz w:val="22"/>
          <w:u w:val="thick"/>
        </w:rPr>
        <w:t> </w:t>
      </w:r>
      <w:r>
        <w:rPr>
          <w:b/>
          <w:sz w:val="22"/>
          <w:u w:val="thick"/>
        </w:rPr>
        <w:t>cited</w:t>
      </w:r>
    </w:p>
    <w:p>
      <w:pPr>
        <w:spacing w:after="0" w:line="240" w:lineRule="auto"/>
        <w:jc w:val="left"/>
        <w:rPr>
          <w:sz w:val="22"/>
        </w:rPr>
        <w:sectPr>
          <w:footerReference w:type="default" r:id="rId43"/>
          <w:pgSz w:w="12240" w:h="15840"/>
          <w:pgMar w:footer="1020" w:header="724" w:top="1220" w:bottom="1220" w:left="860" w:right="680"/>
          <w:pgNumType w:start="1"/>
        </w:sectPr>
      </w:pPr>
    </w:p>
    <w:p>
      <w:pPr>
        <w:pStyle w:val="BodyText"/>
        <w:spacing w:before="6"/>
        <w:rPr>
          <w:b/>
          <w:sz w:val="10"/>
        </w:rPr>
      </w:pPr>
    </w:p>
    <w:p>
      <w:pPr>
        <w:pStyle w:val="BodyText"/>
        <w:spacing w:line="276" w:lineRule="auto" w:before="94"/>
        <w:ind w:left="580" w:right="783"/>
      </w:pPr>
      <w:r>
        <w:rPr/>
        <w:t>The advanced metering project was originally an unfunded Congressional Mandate to measure the electrical consumption at the building level instead of the base level, which we currently track through the FINCEN utility invoicing system. In 2010, the Coast Guard received from the American Recovery and Reinvestment Act of 2009 (ARRA) funding to accomplish the procurement and installation of the equipment. In 2011, it was discovered that the process had not been initiated to connect the equipment and store the data on the CGOneNET. Therefore, MSPL (Mission Support Product Line) in coordination with CG-46 (CG Energy Office), CG-43 (CG Office of Civil Engineering), and SILC (Shore Infrastructure Logistic Center) were required to have equipment tested as part of the USCG Component Security Assessment. In September 2012, the equipment–specifically, the Obvius-AcquiSuite Model A8812– Data Acquisition Server (DAS) was tested in a lab environment to determine any security</w:t>
      </w:r>
      <w:r>
        <w:rPr>
          <w:spacing w:val="-15"/>
        </w:rPr>
        <w:t> </w:t>
      </w:r>
      <w:r>
        <w:rPr/>
        <w:t>vulnerabilities.</w:t>
      </w:r>
    </w:p>
    <w:p>
      <w:pPr>
        <w:pStyle w:val="BodyText"/>
        <w:rPr>
          <w:sz w:val="24"/>
        </w:rPr>
      </w:pPr>
    </w:p>
    <w:p>
      <w:pPr>
        <w:pStyle w:val="BodyText"/>
        <w:spacing w:before="3"/>
      </w:pPr>
    </w:p>
    <w:p>
      <w:pPr>
        <w:pStyle w:val="BodyText"/>
        <w:spacing w:line="276" w:lineRule="auto"/>
        <w:ind w:left="580" w:right="1565"/>
      </w:pPr>
      <w:r>
        <w:rPr/>
        <w:t>A Retina Network security scan of the AMI system was performed and completed on 10/31/2012 A CGONE/SIPRNET Enterprise Hardware Technical Evaluation Report was completed on 12/12/2012.</w:t>
      </w:r>
    </w:p>
    <w:p>
      <w:pPr>
        <w:pStyle w:val="BodyText"/>
        <w:spacing w:before="119"/>
        <w:ind w:left="1660" w:right="830" w:hanging="360"/>
      </w:pPr>
      <w:r>
        <w:rPr/>
        <w:t>1- Retina Network Security Scanner, Network Vulnerability Assessment and Remediation Management of 31 Oct 2012.</w:t>
      </w:r>
    </w:p>
    <w:p>
      <w:pPr>
        <w:pStyle w:val="BodyText"/>
        <w:spacing w:before="2"/>
      </w:pPr>
    </w:p>
    <w:p>
      <w:pPr>
        <w:pStyle w:val="BodyText"/>
        <w:ind w:left="2827" w:right="906" w:hanging="2089"/>
      </w:pPr>
      <w:r>
        <w:rPr/>
        <w:t>CGONE/SIPRNET Enterprise Hardware Technical Evaluation Report for AcquiSuite Server – Advanced Metering Infrastructure of 12 Dec 2012.</w:t>
      </w:r>
    </w:p>
    <w:p>
      <w:pPr>
        <w:pStyle w:val="BodyText"/>
        <w:spacing w:before="10"/>
        <w:rPr>
          <w:sz w:val="21"/>
        </w:rPr>
      </w:pPr>
    </w:p>
    <w:p>
      <w:pPr>
        <w:pStyle w:val="BodyText"/>
        <w:spacing w:before="1"/>
        <w:ind w:left="580" w:right="1087"/>
      </w:pPr>
      <w:r>
        <w:rPr/>
        <w:t>Based on the above testing and security scan approvals, the Obvius, LLC proprietary AcquiSuite Data Acquisition Server is required to provide compatibility with existing units and ensures interface with CGOneNET.</w:t>
      </w:r>
    </w:p>
    <w:p>
      <w:pPr>
        <w:pStyle w:val="BodyText"/>
        <w:spacing w:before="10"/>
        <w:rPr>
          <w:sz w:val="21"/>
        </w:rPr>
      </w:pPr>
    </w:p>
    <w:p>
      <w:pPr>
        <w:pStyle w:val="BodyText"/>
        <w:ind w:left="580" w:right="780"/>
      </w:pPr>
      <w:r>
        <w:rPr/>
        <w:t>In addition to the Energy Policy Act (EPAct) of 2005 and the Energy Independence and Security Act (EISA) of 2007, and the more recent publication of the Dept. of Energy FEMP Utility Metering Guidance 2014 requires all Federal Agencies to install electric, water and gas advanced metering at appropriate federal facilities.</w:t>
      </w:r>
    </w:p>
    <w:p>
      <w:pPr>
        <w:pStyle w:val="BodyText"/>
      </w:pPr>
    </w:p>
    <w:p>
      <w:pPr>
        <w:pStyle w:val="BodyText"/>
        <w:ind w:left="580" w:right="770"/>
      </w:pPr>
      <w:r>
        <w:rPr/>
        <w:t>The Advanced Metering Infrastructure (AMI) project utilizing the Obvius AcquiSuite Data Acquisition Server will provide a fully functional, utility metering system at over 220 Coast Guard units, encompassing over 1,300 buildings and housing units, and over 200 cutter shore ties.</w:t>
      </w:r>
    </w:p>
    <w:p>
      <w:pPr>
        <w:pStyle w:val="BodyText"/>
        <w:spacing w:line="276" w:lineRule="auto" w:before="2"/>
        <w:ind w:left="580" w:right="904"/>
      </w:pPr>
      <w:r>
        <w:rPr/>
        <w:t>This will satisfy the federal government mandates and enable the Coast Guard to monitor total energy. Obvius DAS is the only AMI Component device approved to safely operate on CGOneNET. Other devices would entail a significant effort for the process of gaining access to the CG server, cost for analysis, testing and approvals.</w:t>
      </w:r>
    </w:p>
    <w:p>
      <w:pPr>
        <w:pStyle w:val="ListParagraph"/>
        <w:numPr>
          <w:ilvl w:val="0"/>
          <w:numId w:val="23"/>
        </w:numPr>
        <w:tabs>
          <w:tab w:pos="828" w:val="left" w:leader="none"/>
        </w:tabs>
        <w:spacing w:line="276" w:lineRule="auto" w:before="118" w:after="0"/>
        <w:ind w:left="580" w:right="894" w:firstLine="0"/>
        <w:jc w:val="both"/>
        <w:rPr>
          <w:sz w:val="22"/>
        </w:rPr>
      </w:pPr>
      <w:r>
        <w:rPr>
          <w:b/>
          <w:sz w:val="22"/>
          <w:u w:val="thick"/>
        </w:rPr>
        <w:t>Description of Efforts made to ensure that Offers are solicited from as Many Potential Sources as is Practicable</w:t>
      </w:r>
      <w:r>
        <w:rPr>
          <w:b/>
          <w:sz w:val="22"/>
        </w:rPr>
        <w:t> </w:t>
      </w:r>
      <w:r>
        <w:rPr>
          <w:sz w:val="22"/>
        </w:rPr>
        <w:t>– This action does not meet the dollar threshold for a FedBizOpps posting. Award to any other source would result in unacceptable delays in fulfilling the Federal Energy Mandate requirements and substantial duplication of cost to the Government that is not expected to be recovered through</w:t>
      </w:r>
      <w:r>
        <w:rPr>
          <w:spacing w:val="-5"/>
          <w:sz w:val="22"/>
        </w:rPr>
        <w:t> </w:t>
      </w:r>
      <w:r>
        <w:rPr>
          <w:sz w:val="22"/>
        </w:rPr>
        <w:t>competition.</w:t>
      </w:r>
    </w:p>
    <w:p>
      <w:pPr>
        <w:pStyle w:val="BodyText"/>
        <w:spacing w:line="276" w:lineRule="auto" w:before="123"/>
        <w:ind w:left="580" w:right="1051"/>
      </w:pPr>
      <w:r>
        <w:rPr/>
        <w:t>The DAS Units were initially accepted under the Lowest Price Technically Acceptable (LPTA) ARRA Funded Project in 2012 which was a solicitation of competitive bids. Projects will be</w:t>
      </w:r>
    </w:p>
    <w:p>
      <w:pPr>
        <w:spacing w:after="0" w:line="276" w:lineRule="auto"/>
        <w:sectPr>
          <w:pgSz w:w="12240" w:h="15840"/>
          <w:pgMar w:header="724" w:footer="1020" w:top="1220" w:bottom="1220" w:left="860" w:right="680"/>
        </w:sectPr>
      </w:pPr>
    </w:p>
    <w:p>
      <w:pPr>
        <w:pStyle w:val="BodyText"/>
        <w:spacing w:before="6"/>
        <w:rPr>
          <w:sz w:val="10"/>
        </w:rPr>
      </w:pPr>
    </w:p>
    <w:p>
      <w:pPr>
        <w:pStyle w:val="BodyText"/>
        <w:spacing w:line="276" w:lineRule="auto" w:before="94"/>
        <w:ind w:left="580" w:right="977"/>
      </w:pPr>
      <w:r>
        <w:rPr/>
        <w:t>completed as appropriate and this product will be a Sole Source construction material under a construction contract or units will be purchased directly for unit installation.</w:t>
      </w:r>
    </w:p>
    <w:p>
      <w:pPr>
        <w:pStyle w:val="ListParagraph"/>
        <w:numPr>
          <w:ilvl w:val="0"/>
          <w:numId w:val="23"/>
        </w:numPr>
        <w:tabs>
          <w:tab w:pos="828" w:val="left" w:leader="none"/>
        </w:tabs>
        <w:spacing w:line="276" w:lineRule="auto" w:before="117" w:after="0"/>
        <w:ind w:left="580" w:right="766" w:firstLine="0"/>
        <w:jc w:val="left"/>
        <w:rPr>
          <w:sz w:val="22"/>
        </w:rPr>
      </w:pPr>
      <w:r>
        <w:rPr>
          <w:b/>
          <w:sz w:val="22"/>
          <w:u w:val="thick"/>
        </w:rPr>
        <w:t>Determination by the Contracting Officer that the Anticipated Cost to the Government will be Fair and Reasonable</w:t>
      </w:r>
      <w:r>
        <w:rPr>
          <w:b/>
          <w:sz w:val="22"/>
        </w:rPr>
        <w:t> </w:t>
      </w:r>
      <w:r>
        <w:rPr>
          <w:sz w:val="22"/>
        </w:rPr>
        <w:t>- This acquisition is limited to the OEM or OEM approved source. Obvius LLC is the OEM for this component and the only known source of supply. Any other potential offeror would have to provide necessary certifications to ensure the server is compatible and approved for connection and operability on U.S. Coast Guard Network. It is the Contracting Officer's opinion that prices ultimately negotiated for this procurement will be fair and reasonable based on a comparison to commercial prices, a comparison to historical pricing information on similar items. The Contracting Officer determines that the anticipated price will</w:t>
      </w:r>
      <w:r>
        <w:rPr>
          <w:spacing w:val="-40"/>
          <w:sz w:val="22"/>
        </w:rPr>
        <w:t> </w:t>
      </w:r>
      <w:r>
        <w:rPr>
          <w:sz w:val="22"/>
        </w:rPr>
        <w:t>be fair and reasonable based on the competitive market price for this product, and prior acquisition history.</w:t>
      </w:r>
    </w:p>
    <w:p>
      <w:pPr>
        <w:pStyle w:val="BodyText"/>
        <w:spacing w:line="276" w:lineRule="auto" w:before="124"/>
        <w:ind w:left="580" w:right="952"/>
      </w:pPr>
      <w:r>
        <w:rPr/>
        <w:t>As stated above, this justification applies to only one brand name construction products, not to the entire project. Price reasonableness will be documented in the contract file.</w:t>
      </w:r>
    </w:p>
    <w:p>
      <w:pPr>
        <w:pStyle w:val="ListParagraph"/>
        <w:numPr>
          <w:ilvl w:val="0"/>
          <w:numId w:val="23"/>
        </w:numPr>
        <w:tabs>
          <w:tab w:pos="828" w:val="left" w:leader="none"/>
        </w:tabs>
        <w:spacing w:line="276" w:lineRule="auto" w:before="117" w:after="0"/>
        <w:ind w:left="580" w:right="831" w:firstLine="0"/>
        <w:jc w:val="left"/>
        <w:rPr>
          <w:sz w:val="22"/>
        </w:rPr>
      </w:pPr>
      <w:r>
        <w:rPr>
          <w:b/>
          <w:sz w:val="22"/>
          <w:u w:val="thick"/>
        </w:rPr>
        <w:t>Description of Market Research</w:t>
      </w:r>
      <w:r>
        <w:rPr>
          <w:b/>
          <w:sz w:val="22"/>
        </w:rPr>
        <w:t> </w:t>
      </w:r>
      <w:r>
        <w:rPr>
          <w:sz w:val="22"/>
        </w:rPr>
        <w:t>- This product was proposed under the original AMI Solicitation and resulting contract, vendor proposed, and government accepted. Product market research was conducted using Internet search engines, manufacturer’s catalogs, and construction references at the time of the original contract in</w:t>
      </w:r>
      <w:r>
        <w:rPr>
          <w:spacing w:val="-14"/>
          <w:sz w:val="22"/>
        </w:rPr>
        <w:t> </w:t>
      </w:r>
      <w:r>
        <w:rPr>
          <w:sz w:val="22"/>
        </w:rPr>
        <w:t>2012.</w:t>
      </w:r>
    </w:p>
    <w:p>
      <w:pPr>
        <w:pStyle w:val="ListParagraph"/>
        <w:numPr>
          <w:ilvl w:val="0"/>
          <w:numId w:val="23"/>
        </w:numPr>
        <w:tabs>
          <w:tab w:pos="833" w:val="left" w:leader="none"/>
        </w:tabs>
        <w:spacing w:line="240" w:lineRule="auto" w:before="120" w:after="0"/>
        <w:ind w:left="580" w:right="751" w:firstLine="0"/>
        <w:jc w:val="both"/>
        <w:rPr>
          <w:sz w:val="22"/>
        </w:rPr>
      </w:pPr>
      <w:r>
        <w:rPr>
          <w:b/>
          <w:spacing w:val="-3"/>
          <w:sz w:val="22"/>
          <w:u w:val="thick"/>
        </w:rPr>
        <w:t>Any </w:t>
      </w:r>
      <w:r>
        <w:rPr>
          <w:b/>
          <w:sz w:val="22"/>
          <w:u w:val="thick"/>
        </w:rPr>
        <w:t>Other Facts Supporting the Use of Other Than Full &amp; Open Competition</w:t>
      </w:r>
      <w:r>
        <w:rPr>
          <w:b/>
          <w:sz w:val="22"/>
        </w:rPr>
        <w:t> </w:t>
      </w:r>
      <w:r>
        <w:rPr>
          <w:sz w:val="22"/>
        </w:rPr>
        <w:t>- As Stated in Paragraph five (5) of the J&amp;A, any other potential offeror would have to provide </w:t>
      </w:r>
      <w:r>
        <w:rPr>
          <w:spacing w:val="2"/>
          <w:sz w:val="22"/>
        </w:rPr>
        <w:t>the </w:t>
      </w:r>
      <w:r>
        <w:rPr>
          <w:sz w:val="22"/>
        </w:rPr>
        <w:t>necessary testing approvals. Competition among vendors other than Obvius would result in unnecessary cost to the government. To use other vendors would require the Coast Guard to complete extensive</w:t>
      </w:r>
      <w:r>
        <w:rPr>
          <w:spacing w:val="-6"/>
          <w:sz w:val="22"/>
        </w:rPr>
        <w:t> </w:t>
      </w:r>
      <w:r>
        <w:rPr>
          <w:sz w:val="22"/>
        </w:rPr>
        <w:t>testing</w:t>
      </w:r>
      <w:r>
        <w:rPr>
          <w:spacing w:val="-5"/>
          <w:sz w:val="22"/>
        </w:rPr>
        <w:t> </w:t>
      </w:r>
      <w:r>
        <w:rPr>
          <w:sz w:val="22"/>
        </w:rPr>
        <w:t>to</w:t>
      </w:r>
      <w:r>
        <w:rPr>
          <w:spacing w:val="-9"/>
          <w:sz w:val="22"/>
        </w:rPr>
        <w:t> </w:t>
      </w:r>
      <w:r>
        <w:rPr>
          <w:sz w:val="22"/>
        </w:rPr>
        <w:t>certify</w:t>
      </w:r>
      <w:r>
        <w:rPr>
          <w:spacing w:val="-7"/>
          <w:sz w:val="22"/>
        </w:rPr>
        <w:t> </w:t>
      </w:r>
      <w:r>
        <w:rPr>
          <w:sz w:val="22"/>
        </w:rPr>
        <w:t>that</w:t>
      </w:r>
      <w:r>
        <w:rPr>
          <w:spacing w:val="-7"/>
          <w:sz w:val="22"/>
        </w:rPr>
        <w:t> </w:t>
      </w:r>
      <w:r>
        <w:rPr>
          <w:sz w:val="22"/>
        </w:rPr>
        <w:t>the</w:t>
      </w:r>
      <w:r>
        <w:rPr>
          <w:spacing w:val="-9"/>
          <w:sz w:val="22"/>
        </w:rPr>
        <w:t> </w:t>
      </w:r>
      <w:r>
        <w:rPr>
          <w:sz w:val="22"/>
        </w:rPr>
        <w:t>data</w:t>
      </w:r>
      <w:r>
        <w:rPr>
          <w:spacing w:val="-8"/>
          <w:sz w:val="22"/>
        </w:rPr>
        <w:t> </w:t>
      </w:r>
      <w:r>
        <w:rPr>
          <w:sz w:val="22"/>
        </w:rPr>
        <w:t>acquisition</w:t>
      </w:r>
      <w:r>
        <w:rPr>
          <w:spacing w:val="-6"/>
          <w:sz w:val="22"/>
        </w:rPr>
        <w:t> </w:t>
      </w:r>
      <w:r>
        <w:rPr>
          <w:sz w:val="22"/>
        </w:rPr>
        <w:t>server</w:t>
      </w:r>
      <w:r>
        <w:rPr>
          <w:spacing w:val="-8"/>
          <w:sz w:val="22"/>
        </w:rPr>
        <w:t> </w:t>
      </w:r>
      <w:r>
        <w:rPr>
          <w:sz w:val="22"/>
        </w:rPr>
        <w:t>can</w:t>
      </w:r>
      <w:r>
        <w:rPr>
          <w:spacing w:val="-3"/>
          <w:sz w:val="22"/>
        </w:rPr>
        <w:t> </w:t>
      </w:r>
      <w:r>
        <w:rPr>
          <w:sz w:val="22"/>
        </w:rPr>
        <w:t>safely</w:t>
      </w:r>
      <w:r>
        <w:rPr>
          <w:spacing w:val="-7"/>
          <w:sz w:val="22"/>
        </w:rPr>
        <w:t> </w:t>
      </w:r>
      <w:r>
        <w:rPr>
          <w:sz w:val="22"/>
        </w:rPr>
        <w:t>operate</w:t>
      </w:r>
      <w:r>
        <w:rPr>
          <w:spacing w:val="-6"/>
          <w:sz w:val="22"/>
        </w:rPr>
        <w:t> </w:t>
      </w:r>
      <w:r>
        <w:rPr>
          <w:sz w:val="22"/>
        </w:rPr>
        <w:t>on</w:t>
      </w:r>
      <w:r>
        <w:rPr>
          <w:spacing w:val="-8"/>
          <w:sz w:val="22"/>
        </w:rPr>
        <w:t> </w:t>
      </w:r>
      <w:r>
        <w:rPr>
          <w:sz w:val="22"/>
        </w:rPr>
        <w:t>CGOneNET</w:t>
      </w:r>
      <w:r>
        <w:rPr>
          <w:spacing w:val="-4"/>
          <w:sz w:val="22"/>
        </w:rPr>
        <w:t> </w:t>
      </w:r>
      <w:r>
        <w:rPr>
          <w:sz w:val="22"/>
        </w:rPr>
        <w:t>and be</w:t>
      </w:r>
      <w:r>
        <w:rPr>
          <w:spacing w:val="-13"/>
          <w:sz w:val="22"/>
        </w:rPr>
        <w:t> </w:t>
      </w:r>
      <w:r>
        <w:rPr>
          <w:sz w:val="22"/>
        </w:rPr>
        <w:t>compatible</w:t>
      </w:r>
      <w:r>
        <w:rPr>
          <w:spacing w:val="-11"/>
          <w:sz w:val="22"/>
        </w:rPr>
        <w:t> </w:t>
      </w:r>
      <w:r>
        <w:rPr>
          <w:sz w:val="22"/>
        </w:rPr>
        <w:t>with</w:t>
      </w:r>
      <w:r>
        <w:rPr>
          <w:spacing w:val="-11"/>
          <w:sz w:val="22"/>
        </w:rPr>
        <w:t> </w:t>
      </w:r>
      <w:r>
        <w:rPr>
          <w:sz w:val="22"/>
        </w:rPr>
        <w:t>the</w:t>
      </w:r>
      <w:r>
        <w:rPr>
          <w:spacing w:val="-16"/>
          <w:sz w:val="22"/>
        </w:rPr>
        <w:t> </w:t>
      </w:r>
      <w:r>
        <w:rPr>
          <w:sz w:val="22"/>
        </w:rPr>
        <w:t>metering</w:t>
      </w:r>
      <w:r>
        <w:rPr>
          <w:spacing w:val="-9"/>
          <w:sz w:val="22"/>
        </w:rPr>
        <w:t> </w:t>
      </w:r>
      <w:r>
        <w:rPr>
          <w:sz w:val="22"/>
        </w:rPr>
        <w:t>infrastructure</w:t>
      </w:r>
      <w:r>
        <w:rPr>
          <w:spacing w:val="-13"/>
          <w:sz w:val="22"/>
        </w:rPr>
        <w:t> </w:t>
      </w:r>
      <w:r>
        <w:rPr>
          <w:sz w:val="22"/>
        </w:rPr>
        <w:t>in</w:t>
      </w:r>
      <w:r>
        <w:rPr>
          <w:spacing w:val="-14"/>
          <w:sz w:val="22"/>
        </w:rPr>
        <w:t> </w:t>
      </w:r>
      <w:r>
        <w:rPr>
          <w:sz w:val="22"/>
        </w:rPr>
        <w:t>the</w:t>
      </w:r>
      <w:r>
        <w:rPr>
          <w:spacing w:val="-13"/>
          <w:sz w:val="22"/>
        </w:rPr>
        <w:t> </w:t>
      </w:r>
      <w:r>
        <w:rPr>
          <w:sz w:val="22"/>
        </w:rPr>
        <w:t>legacy</w:t>
      </w:r>
      <w:r>
        <w:rPr>
          <w:spacing w:val="-13"/>
          <w:sz w:val="22"/>
        </w:rPr>
        <w:t> </w:t>
      </w:r>
      <w:r>
        <w:rPr>
          <w:sz w:val="22"/>
        </w:rPr>
        <w:t>AMI</w:t>
      </w:r>
      <w:r>
        <w:rPr>
          <w:spacing w:val="-10"/>
          <w:sz w:val="22"/>
        </w:rPr>
        <w:t> </w:t>
      </w:r>
      <w:r>
        <w:rPr>
          <w:sz w:val="22"/>
        </w:rPr>
        <w:t>system.</w:t>
      </w:r>
      <w:r>
        <w:rPr>
          <w:spacing w:val="-9"/>
          <w:sz w:val="22"/>
        </w:rPr>
        <w:t> </w:t>
      </w:r>
      <w:r>
        <w:rPr>
          <w:sz w:val="22"/>
        </w:rPr>
        <w:t>This</w:t>
      </w:r>
      <w:r>
        <w:rPr>
          <w:spacing w:val="-11"/>
          <w:sz w:val="22"/>
        </w:rPr>
        <w:t> </w:t>
      </w:r>
      <w:r>
        <w:rPr>
          <w:sz w:val="22"/>
        </w:rPr>
        <w:t>substantial</w:t>
      </w:r>
      <w:r>
        <w:rPr>
          <w:spacing w:val="-12"/>
          <w:sz w:val="22"/>
        </w:rPr>
        <w:t> </w:t>
      </w:r>
      <w:r>
        <w:rPr>
          <w:sz w:val="22"/>
        </w:rPr>
        <w:t>cost</w:t>
      </w:r>
      <w:r>
        <w:rPr>
          <w:spacing w:val="-13"/>
          <w:sz w:val="22"/>
        </w:rPr>
        <w:t> </w:t>
      </w:r>
      <w:r>
        <w:rPr>
          <w:sz w:val="22"/>
        </w:rPr>
        <w:t>and program delays to the Government is not expected to be recovered through competition and it would also cause unacceptable delays in fulfilling immediate Coast Guard mission requirements in meeting Federal Energy</w:t>
      </w:r>
      <w:r>
        <w:rPr>
          <w:spacing w:val="-4"/>
          <w:sz w:val="22"/>
        </w:rPr>
        <w:t> </w:t>
      </w:r>
      <w:r>
        <w:rPr>
          <w:sz w:val="22"/>
        </w:rPr>
        <w:t>Mandates.</w:t>
      </w:r>
    </w:p>
    <w:p>
      <w:pPr>
        <w:pStyle w:val="BodyText"/>
      </w:pPr>
    </w:p>
    <w:p>
      <w:pPr>
        <w:pStyle w:val="ListParagraph"/>
        <w:numPr>
          <w:ilvl w:val="0"/>
          <w:numId w:val="23"/>
        </w:numPr>
        <w:tabs>
          <w:tab w:pos="953" w:val="left" w:leader="none"/>
        </w:tabs>
        <w:spacing w:line="278" w:lineRule="auto" w:before="1" w:after="0"/>
        <w:ind w:left="580" w:right="797" w:firstLine="0"/>
        <w:jc w:val="left"/>
        <w:rPr>
          <w:sz w:val="22"/>
        </w:rPr>
      </w:pPr>
      <w:r>
        <w:rPr>
          <w:b/>
          <w:sz w:val="22"/>
          <w:u w:val="thick"/>
        </w:rPr>
        <w:t>A Listing of Sources, if any, that Expressed, in Writing, an Interest in the Acquisition</w:t>
      </w:r>
      <w:r>
        <w:rPr>
          <w:b/>
          <w:sz w:val="22"/>
        </w:rPr>
        <w:t> </w:t>
      </w:r>
      <w:r>
        <w:rPr>
          <w:sz w:val="22"/>
        </w:rPr>
        <w:t>- Not Applicable.</w:t>
      </w:r>
    </w:p>
    <w:p>
      <w:pPr>
        <w:pStyle w:val="ListParagraph"/>
        <w:numPr>
          <w:ilvl w:val="0"/>
          <w:numId w:val="23"/>
        </w:numPr>
        <w:tabs>
          <w:tab w:pos="953" w:val="left" w:leader="none"/>
        </w:tabs>
        <w:spacing w:line="276" w:lineRule="auto" w:before="113" w:after="0"/>
        <w:ind w:left="580" w:right="836" w:firstLine="0"/>
        <w:jc w:val="left"/>
        <w:rPr>
          <w:sz w:val="22"/>
        </w:rPr>
      </w:pPr>
      <w:r>
        <w:rPr>
          <w:b/>
          <w:sz w:val="22"/>
          <w:u w:val="thick"/>
        </w:rPr>
        <w:t>A Statement of the Actions, if any, the Agency May Take to Remove or Overcome</w:t>
      </w:r>
      <w:r>
        <w:rPr>
          <w:b/>
          <w:spacing w:val="-24"/>
          <w:sz w:val="22"/>
          <w:u w:val="thick"/>
        </w:rPr>
        <w:t> </w:t>
      </w:r>
      <w:r>
        <w:rPr>
          <w:b/>
          <w:sz w:val="22"/>
          <w:u w:val="thick"/>
        </w:rPr>
        <w:t>any Barriers to Competition Before any Subsequent Acquisition for Supplies or Services Required</w:t>
      </w:r>
      <w:r>
        <w:rPr>
          <w:b/>
          <w:sz w:val="22"/>
        </w:rPr>
        <w:t> </w:t>
      </w:r>
      <w:r>
        <w:rPr>
          <w:sz w:val="22"/>
        </w:rPr>
        <w:t>- The DAS component specified in this document and referenced AMI CSTO is required to enable compatibility with existing systems and future advanced metering systems installation and meet Federal mandates for utilities consumption and reporting requirements. Until such time as technological advances, changes in Federally Mandated requirements or USCG mission requirements shall this specific component- the Obvius AcquiSuite DAS be altered whereby the Agency may remove or overcome the this barrier to</w:t>
      </w:r>
      <w:r>
        <w:rPr>
          <w:spacing w:val="-19"/>
          <w:sz w:val="22"/>
        </w:rPr>
        <w:t> </w:t>
      </w:r>
      <w:r>
        <w:rPr>
          <w:sz w:val="22"/>
        </w:rPr>
        <w:t>competition.</w:t>
      </w:r>
    </w:p>
    <w:p>
      <w:pPr>
        <w:pStyle w:val="ListParagraph"/>
        <w:numPr>
          <w:ilvl w:val="0"/>
          <w:numId w:val="23"/>
        </w:numPr>
        <w:tabs>
          <w:tab w:pos="951" w:val="left" w:leader="none"/>
        </w:tabs>
        <w:spacing w:line="278" w:lineRule="auto" w:before="122" w:after="0"/>
        <w:ind w:left="580" w:right="758" w:firstLine="0"/>
        <w:jc w:val="left"/>
        <w:rPr>
          <w:sz w:val="22"/>
        </w:rPr>
      </w:pPr>
      <w:r>
        <w:rPr>
          <w:rFonts w:ascii="Times New Roman" w:hAnsi="Times New Roman"/>
          <w:spacing w:val="-56"/>
          <w:w w:val="100"/>
          <w:sz w:val="22"/>
          <w:u w:val="thick"/>
        </w:rPr>
        <w:t> </w:t>
      </w:r>
      <w:r>
        <w:rPr>
          <w:b/>
          <w:sz w:val="22"/>
          <w:u w:val="thick"/>
        </w:rPr>
        <w:t>Contracting Officer’s Certification</w:t>
      </w:r>
      <w:r>
        <w:rPr>
          <w:sz w:val="22"/>
          <w:u w:val="thick"/>
        </w:rPr>
        <w:t>.</w:t>
      </w:r>
      <w:r>
        <w:rPr>
          <w:sz w:val="22"/>
        </w:rPr>
        <w:t> I certify that the data supporting the recommended use of other than full and open competition is accurate and complete to the best of my knowledge and</w:t>
      </w:r>
      <w:r>
        <w:rPr>
          <w:spacing w:val="-1"/>
          <w:sz w:val="22"/>
        </w:rPr>
        <w:t> </w:t>
      </w:r>
      <w:r>
        <w:rPr>
          <w:sz w:val="22"/>
        </w:rPr>
        <w:t>belief.</w:t>
      </w:r>
    </w:p>
    <w:p>
      <w:pPr>
        <w:spacing w:after="0" w:line="278" w:lineRule="auto"/>
        <w:jc w:val="left"/>
        <w:rPr>
          <w:sz w:val="22"/>
        </w:rPr>
        <w:sectPr>
          <w:pgSz w:w="12240" w:h="15840"/>
          <w:pgMar w:header="724" w:footer="1020" w:top="1220" w:bottom="1220" w:left="860" w:right="680"/>
        </w:sectPr>
      </w:pPr>
    </w:p>
    <w:p>
      <w:pPr>
        <w:pStyle w:val="BodyText"/>
        <w:tabs>
          <w:tab w:pos="5477" w:val="left" w:leader="none"/>
        </w:tabs>
        <w:spacing w:before="162"/>
        <w:ind w:left="580"/>
      </w:pPr>
      <w:r>
        <w:rPr/>
        <w:t>Contracting</w:t>
      </w:r>
      <w:r>
        <w:rPr>
          <w:spacing w:val="-3"/>
        </w:rPr>
        <w:t> </w:t>
      </w:r>
      <w:r>
        <w:rPr/>
        <w:t>Officer</w:t>
        <w:tab/>
        <w:t>Date</w:t>
      </w:r>
    </w:p>
    <w:p>
      <w:pPr>
        <w:pStyle w:val="BodyText"/>
        <w:rPr>
          <w:sz w:val="24"/>
        </w:rPr>
      </w:pPr>
    </w:p>
    <w:p>
      <w:pPr>
        <w:pStyle w:val="BodyText"/>
        <w:spacing w:before="2"/>
        <w:rPr>
          <w:sz w:val="25"/>
        </w:rPr>
      </w:pPr>
    </w:p>
    <w:p>
      <w:pPr>
        <w:pStyle w:val="ListParagraph"/>
        <w:numPr>
          <w:ilvl w:val="0"/>
          <w:numId w:val="23"/>
        </w:numPr>
        <w:tabs>
          <w:tab w:pos="951" w:val="left" w:leader="none"/>
        </w:tabs>
        <w:spacing w:line="278" w:lineRule="auto" w:before="0" w:after="0"/>
        <w:ind w:left="580" w:right="1234" w:firstLine="0"/>
        <w:jc w:val="left"/>
        <w:rPr>
          <w:sz w:val="22"/>
        </w:rPr>
      </w:pPr>
      <w:r>
        <w:rPr>
          <w:b/>
          <w:sz w:val="22"/>
          <w:u w:val="thick"/>
        </w:rPr>
        <w:t>Technical/Requirements Personnel Certification</w:t>
      </w:r>
      <w:r>
        <w:rPr>
          <w:sz w:val="22"/>
          <w:u w:val="thick"/>
        </w:rPr>
        <w:t>.</w:t>
      </w:r>
      <w:r>
        <w:rPr>
          <w:sz w:val="22"/>
        </w:rPr>
        <w:t> I certify this requirement meets the Government’s minimum need and that the supporting data, which forms a basis for this justification, is complete and</w:t>
      </w:r>
      <w:r>
        <w:rPr>
          <w:spacing w:val="-2"/>
          <w:sz w:val="22"/>
        </w:rPr>
        <w:t> </w:t>
      </w:r>
      <w:r>
        <w:rPr>
          <w:sz w:val="22"/>
        </w:rPr>
        <w:t>accurate.</w:t>
      </w:r>
    </w:p>
    <w:p>
      <w:pPr>
        <w:pStyle w:val="BodyText"/>
        <w:rPr>
          <w:sz w:val="20"/>
        </w:rPr>
      </w:pPr>
    </w:p>
    <w:p>
      <w:pPr>
        <w:pStyle w:val="BodyText"/>
        <w:rPr>
          <w:sz w:val="20"/>
        </w:rPr>
      </w:pPr>
    </w:p>
    <w:p>
      <w:pPr>
        <w:pStyle w:val="BodyText"/>
        <w:spacing w:before="4"/>
      </w:pPr>
      <w:r>
        <w:rPr/>
        <w:pict>
          <v:group style="position:absolute;margin-left:72.024002pt;margin-top:14.875188pt;width:165.3pt;height:1pt;mso-position-horizontal-relative:page;mso-position-vertical-relative:paragraph;z-index:752;mso-wrap-distance-left:0;mso-wrap-distance-right:0" coordorigin="1440,298" coordsize="3306,20">
            <v:line style="position:absolute" from="1440,310" to="4745,310" stroked="true" strokeweight=".69552pt" strokecolor="#000000">
              <v:stroke dashstyle="solid"/>
            </v:line>
            <v:line style="position:absolute" from="1440,306" to="4746,306" stroked="true" strokeweight=".84pt" strokecolor="#000000">
              <v:stroke dashstyle="solid"/>
            </v:line>
            <w10:wrap type="topAndBottom"/>
          </v:group>
        </w:pict>
      </w:r>
      <w:r>
        <w:rPr/>
        <w:pict>
          <v:group style="position:absolute;margin-left:288.070007pt;margin-top:14.875188pt;width:165.3pt;height:1pt;mso-position-horizontal-relative:page;mso-position-vertical-relative:paragraph;z-index:776;mso-wrap-distance-left:0;mso-wrap-distance-right:0" coordorigin="5761,298" coordsize="3306,20">
            <v:line style="position:absolute" from="5761,310" to="9066,310" stroked="true" strokeweight=".69552pt" strokecolor="#000000">
              <v:stroke dashstyle="solid"/>
            </v:line>
            <v:line style="position:absolute" from="5761,306" to="9067,306" stroked="true" strokeweight=".84pt" strokecolor="#000000">
              <v:stroke dashstyle="solid"/>
            </v:line>
            <w10:wrap type="topAndBottom"/>
          </v:group>
        </w:pict>
      </w:r>
    </w:p>
    <w:p>
      <w:pPr>
        <w:pStyle w:val="BodyText"/>
        <w:tabs>
          <w:tab w:pos="4901" w:val="left" w:leader="none"/>
        </w:tabs>
        <w:spacing w:before="131"/>
        <w:ind w:left="580"/>
      </w:pPr>
      <w:r>
        <w:rPr/>
        <w:t>Technical</w:t>
      </w:r>
      <w:r>
        <w:rPr>
          <w:spacing w:val="-4"/>
        </w:rPr>
        <w:t> </w:t>
      </w:r>
      <w:r>
        <w:rPr/>
        <w:t>Representative</w:t>
        <w:tab/>
        <w:t>Date</w:t>
      </w:r>
    </w:p>
    <w:p>
      <w:pPr>
        <w:pStyle w:val="BodyText"/>
        <w:rPr>
          <w:sz w:val="24"/>
        </w:rPr>
      </w:pPr>
    </w:p>
    <w:p>
      <w:pPr>
        <w:pStyle w:val="BodyText"/>
        <w:spacing w:before="6"/>
        <w:rPr>
          <w:sz w:val="25"/>
        </w:rPr>
      </w:pPr>
    </w:p>
    <w:p>
      <w:pPr>
        <w:pStyle w:val="BodyText"/>
        <w:spacing w:before="1"/>
        <w:ind w:left="580"/>
      </w:pPr>
      <w:r>
        <w:rPr>
          <w:u w:val="single"/>
        </w:rPr>
        <w:t>APPROVAL</w:t>
      </w:r>
      <w:r>
        <w:rPr/>
        <w:t>:</w:t>
      </w:r>
    </w:p>
    <w:p>
      <w:pPr>
        <w:pStyle w:val="BodyText"/>
        <w:rPr>
          <w:sz w:val="20"/>
        </w:rPr>
      </w:pPr>
    </w:p>
    <w:p>
      <w:pPr>
        <w:pStyle w:val="BodyText"/>
        <w:rPr>
          <w:sz w:val="20"/>
        </w:rPr>
      </w:pPr>
    </w:p>
    <w:p>
      <w:pPr>
        <w:pStyle w:val="BodyText"/>
        <w:spacing w:before="10"/>
        <w:rPr>
          <w:sz w:val="25"/>
        </w:rPr>
      </w:pPr>
      <w:r>
        <w:rPr/>
        <w:pict>
          <v:group style="position:absolute;margin-left:72.024002pt;margin-top:16.902311pt;width:165.3pt;height:1pt;mso-position-horizontal-relative:page;mso-position-vertical-relative:paragraph;z-index:800;mso-wrap-distance-left:0;mso-wrap-distance-right:0" coordorigin="1440,338" coordsize="3306,20">
            <v:line style="position:absolute" from="1440,351" to="4745,351" stroked="true" strokeweight=".69552pt" strokecolor="#000000">
              <v:stroke dashstyle="solid"/>
            </v:line>
            <v:line style="position:absolute" from="1440,346" to="4746,346" stroked="true" strokeweight=".84pt" strokecolor="#000000">
              <v:stroke dashstyle="solid"/>
            </v:line>
            <w10:wrap type="topAndBottom"/>
          </v:group>
        </w:pict>
      </w:r>
      <w:r>
        <w:rPr/>
        <w:pict>
          <v:group style="position:absolute;margin-left:288.070007pt;margin-top:16.902311pt;width:165.3pt;height:1pt;mso-position-horizontal-relative:page;mso-position-vertical-relative:paragraph;z-index:824;mso-wrap-distance-left:0;mso-wrap-distance-right:0" coordorigin="5761,338" coordsize="3306,20">
            <v:line style="position:absolute" from="5761,351" to="9066,351" stroked="true" strokeweight=".69552pt" strokecolor="#000000">
              <v:stroke dashstyle="solid"/>
            </v:line>
            <v:line style="position:absolute" from="5761,346" to="9067,346" stroked="true" strokeweight=".84pt" strokecolor="#000000">
              <v:stroke dashstyle="solid"/>
            </v:line>
            <w10:wrap type="topAndBottom"/>
          </v:group>
        </w:pict>
      </w:r>
    </w:p>
    <w:p>
      <w:pPr>
        <w:pStyle w:val="BodyText"/>
        <w:tabs>
          <w:tab w:pos="4180" w:val="left" w:leader="none"/>
        </w:tabs>
        <w:spacing w:before="131"/>
        <w:ind w:left="580"/>
      </w:pPr>
      <w:r>
        <w:rPr/>
        <w:t>Contracting</w:t>
      </w:r>
      <w:r>
        <w:rPr>
          <w:spacing w:val="-3"/>
        </w:rPr>
        <w:t> </w:t>
      </w:r>
      <w:r>
        <w:rPr/>
        <w:t>Officer</w:t>
      </w:r>
      <w:r>
        <w:rPr>
          <w:spacing w:val="-3"/>
        </w:rPr>
        <w:t> </w:t>
      </w:r>
      <w:r>
        <w:rPr/>
        <w:t>*</w:t>
        <w:tab/>
        <w:t>Date</w:t>
      </w:r>
    </w:p>
    <w:p>
      <w:pPr>
        <w:spacing w:line="276" w:lineRule="auto" w:before="160"/>
        <w:ind w:left="580" w:right="1319" w:firstLine="0"/>
        <w:jc w:val="left"/>
        <w:rPr>
          <w:i/>
          <w:sz w:val="22"/>
        </w:rPr>
      </w:pPr>
      <w:r>
        <w:rPr>
          <w:b/>
          <w:i/>
          <w:sz w:val="22"/>
        </w:rPr>
        <w:t>*Note</w:t>
      </w:r>
      <w:r>
        <w:rPr>
          <w:i/>
          <w:sz w:val="22"/>
        </w:rPr>
        <w:t>: KO approves: (1) when action does not exceed $650K; and (2) when, regardless of </w:t>
      </w:r>
      <w:r>
        <w:rPr>
          <w:i/>
          <w:sz w:val="22"/>
        </w:rPr>
        <w:t>dollar amount, the contract is awarded under FAR 6.302-7, Public Interest.</w:t>
      </w:r>
    </w:p>
    <w:p>
      <w:pPr>
        <w:pStyle w:val="BodyText"/>
        <w:rPr>
          <w:i/>
          <w:sz w:val="20"/>
        </w:rPr>
      </w:pPr>
    </w:p>
    <w:p>
      <w:pPr>
        <w:pStyle w:val="BodyText"/>
        <w:rPr>
          <w:i/>
          <w:sz w:val="20"/>
        </w:rPr>
      </w:pPr>
    </w:p>
    <w:p>
      <w:pPr>
        <w:pStyle w:val="BodyText"/>
        <w:spacing w:before="7"/>
        <w:rPr>
          <w:i/>
        </w:rPr>
      </w:pPr>
      <w:r>
        <w:rPr/>
        <w:pict>
          <v:group style="position:absolute;margin-left:72.024002pt;margin-top:15.001284pt;width:165.3pt;height:1pt;mso-position-horizontal-relative:page;mso-position-vertical-relative:paragraph;z-index:848;mso-wrap-distance-left:0;mso-wrap-distance-right:0" coordorigin="1440,300" coordsize="3306,20">
            <v:line style="position:absolute" from="1440,313" to="4745,313" stroked="true" strokeweight=".69552pt" strokecolor="#000000">
              <v:stroke dashstyle="solid"/>
            </v:line>
            <v:line style="position:absolute" from="1440,308" to="4746,308" stroked="true" strokeweight=".84pt" strokecolor="#000000">
              <v:stroke dashstyle="solid"/>
            </v:line>
            <w10:wrap type="topAndBottom"/>
          </v:group>
        </w:pict>
      </w:r>
      <w:r>
        <w:rPr/>
        <w:pict>
          <v:group style="position:absolute;margin-left:316.869995pt;margin-top:15.001284pt;width:165.3pt;height:1pt;mso-position-horizontal-relative:page;mso-position-vertical-relative:paragraph;z-index:872;mso-wrap-distance-left:0;mso-wrap-distance-right:0" coordorigin="6337,300" coordsize="3306,20">
            <v:line style="position:absolute" from="6337,313" to="9642,313" stroked="true" strokeweight=".69552pt" strokecolor="#000000">
              <v:stroke dashstyle="solid"/>
            </v:line>
            <v:line style="position:absolute" from="6337,308" to="9643,308" stroked="true" strokeweight=".84pt" strokecolor="#000000">
              <v:stroke dashstyle="solid"/>
            </v:line>
            <w10:wrap type="topAndBottom"/>
          </v:group>
        </w:pict>
      </w:r>
    </w:p>
    <w:p>
      <w:pPr>
        <w:pStyle w:val="BodyText"/>
        <w:tabs>
          <w:tab w:pos="5477" w:val="left" w:leader="none"/>
        </w:tabs>
        <w:spacing w:line="391" w:lineRule="auto" w:before="131"/>
        <w:ind w:left="580" w:right="4755"/>
      </w:pPr>
      <w:r>
        <w:rPr/>
        <w:t>Command</w:t>
      </w:r>
      <w:r>
        <w:rPr>
          <w:spacing w:val="-4"/>
        </w:rPr>
        <w:t> </w:t>
      </w:r>
      <w:r>
        <w:rPr/>
        <w:t>Procurement</w:t>
      </w:r>
      <w:r>
        <w:rPr>
          <w:spacing w:val="-3"/>
        </w:rPr>
        <w:t> </w:t>
      </w:r>
      <w:r>
        <w:rPr/>
        <w:t>Activity</w:t>
        <w:tab/>
        <w:t>Date Competition Advocate</w:t>
      </w:r>
      <w:r>
        <w:rPr>
          <w:spacing w:val="-3"/>
        </w:rPr>
        <w:t> </w:t>
      </w:r>
      <w:r>
        <w:rPr/>
        <w:t>(CPACA)**</w:t>
      </w:r>
    </w:p>
    <w:p>
      <w:pPr>
        <w:spacing w:line="276" w:lineRule="auto" w:before="0"/>
        <w:ind w:left="580" w:right="903" w:firstLine="0"/>
        <w:jc w:val="left"/>
        <w:rPr>
          <w:i/>
          <w:sz w:val="22"/>
        </w:rPr>
      </w:pPr>
      <w:r>
        <w:rPr>
          <w:i/>
          <w:sz w:val="22"/>
        </w:rPr>
        <w:t>**</w:t>
      </w:r>
      <w:r>
        <w:rPr>
          <w:b/>
          <w:i/>
          <w:sz w:val="22"/>
        </w:rPr>
        <w:t>Note</w:t>
      </w:r>
      <w:r>
        <w:rPr>
          <w:i/>
          <w:sz w:val="22"/>
        </w:rPr>
        <w:t>: CPACA approves: (1) when action exceeds $650K but is less than or equal to $12.5M; </w:t>
      </w:r>
      <w:r>
        <w:rPr>
          <w:i/>
          <w:sz w:val="22"/>
        </w:rPr>
        <w:t>and when, regardless of dollar amount, the contract is awarded under FAR 6.302-7, Public Interest.</w:t>
      </w:r>
    </w:p>
    <w:p>
      <w:pPr>
        <w:pStyle w:val="BodyText"/>
        <w:rPr>
          <w:i/>
          <w:sz w:val="20"/>
        </w:rPr>
      </w:pPr>
    </w:p>
    <w:p>
      <w:pPr>
        <w:pStyle w:val="BodyText"/>
        <w:rPr>
          <w:i/>
          <w:sz w:val="20"/>
        </w:rPr>
      </w:pPr>
    </w:p>
    <w:p>
      <w:pPr>
        <w:pStyle w:val="BodyText"/>
        <w:spacing w:before="7"/>
        <w:rPr>
          <w:i/>
        </w:rPr>
      </w:pPr>
      <w:r>
        <w:rPr/>
        <w:pict>
          <v:group style="position:absolute;margin-left:72.024002pt;margin-top:15.014446pt;width:165.3pt;height:1pt;mso-position-horizontal-relative:page;mso-position-vertical-relative:paragraph;z-index:896;mso-wrap-distance-left:0;mso-wrap-distance-right:0" coordorigin="1440,300" coordsize="3306,20">
            <v:line style="position:absolute" from="1440,313" to="4745,313" stroked="true" strokeweight=".69552pt" strokecolor="#000000">
              <v:stroke dashstyle="solid"/>
            </v:line>
            <v:line style="position:absolute" from="1440,309" to="4746,309" stroked="true" strokeweight=".86401pt" strokecolor="#000000">
              <v:stroke dashstyle="solid"/>
            </v:line>
            <w10:wrap type="topAndBottom"/>
          </v:group>
        </w:pict>
      </w:r>
      <w:r>
        <w:rPr/>
        <w:pict>
          <v:group style="position:absolute;margin-left:316.869995pt;margin-top:15.014446pt;width:165.3pt;height:1pt;mso-position-horizontal-relative:page;mso-position-vertical-relative:paragraph;z-index:920;mso-wrap-distance-left:0;mso-wrap-distance-right:0" coordorigin="6337,300" coordsize="3306,20">
            <v:line style="position:absolute" from="6337,313" to="9642,313" stroked="true" strokeweight=".69552pt" strokecolor="#000000">
              <v:stroke dashstyle="solid"/>
            </v:line>
            <v:line style="position:absolute" from="6337,309" to="9643,309" stroked="true" strokeweight=".86401pt" strokecolor="#000000">
              <v:stroke dashstyle="solid"/>
            </v:line>
            <w10:wrap type="topAndBottom"/>
          </v:group>
        </w:pict>
      </w:r>
    </w:p>
    <w:p>
      <w:pPr>
        <w:pStyle w:val="BodyText"/>
        <w:tabs>
          <w:tab w:pos="5477" w:val="left" w:leader="none"/>
        </w:tabs>
        <w:spacing w:line="388" w:lineRule="auto" w:before="131"/>
        <w:ind w:left="580" w:right="4755"/>
      </w:pPr>
      <w:r>
        <w:rPr/>
        <w:t>Procuring</w:t>
      </w:r>
      <w:r>
        <w:rPr>
          <w:spacing w:val="-2"/>
        </w:rPr>
        <w:t> </w:t>
      </w:r>
      <w:r>
        <w:rPr/>
        <w:t>Activity</w:t>
      </w:r>
      <w:r>
        <w:rPr>
          <w:spacing w:val="-5"/>
        </w:rPr>
        <w:t> </w:t>
      </w:r>
      <w:r>
        <w:rPr/>
        <w:t>Competition</w:t>
        <w:tab/>
        <w:t>Date Advocate</w:t>
      </w:r>
      <w:r>
        <w:rPr>
          <w:spacing w:val="-1"/>
        </w:rPr>
        <w:t> </w:t>
      </w:r>
      <w:r>
        <w:rPr/>
        <w:t>(PACA)***</w:t>
      </w:r>
    </w:p>
    <w:p>
      <w:pPr>
        <w:spacing w:line="276" w:lineRule="auto" w:before="2"/>
        <w:ind w:left="580" w:right="1063" w:firstLine="0"/>
        <w:jc w:val="left"/>
        <w:rPr>
          <w:i/>
          <w:sz w:val="22"/>
        </w:rPr>
      </w:pPr>
      <w:r>
        <w:rPr>
          <w:i/>
          <w:sz w:val="22"/>
        </w:rPr>
        <w:t>***</w:t>
      </w:r>
      <w:r>
        <w:rPr>
          <w:b/>
          <w:i/>
          <w:sz w:val="22"/>
        </w:rPr>
        <w:t>Note</w:t>
      </w:r>
      <w:r>
        <w:rPr>
          <w:i/>
          <w:sz w:val="22"/>
        </w:rPr>
        <w:t>: PACA approves: (1) when action exceeds $12.M but is less than or equal to $85.5M </w:t>
      </w:r>
      <w:r>
        <w:rPr>
          <w:i/>
          <w:sz w:val="22"/>
        </w:rPr>
        <w:t>and when, regardless of dollar amount, the contract is awarded under FAR 6.302-7, Public Interest.</w:t>
      </w:r>
    </w:p>
    <w:p>
      <w:pPr>
        <w:spacing w:after="0" w:line="276" w:lineRule="auto"/>
        <w:jc w:val="left"/>
        <w:rPr>
          <w:sz w:val="22"/>
        </w:rPr>
        <w:sectPr>
          <w:headerReference w:type="default" r:id="rId44"/>
          <w:pgSz w:w="12240" w:h="15840"/>
          <w:pgMar w:header="724" w:footer="1020" w:top="2500" w:bottom="1220" w:left="860" w:right="680"/>
        </w:sectPr>
      </w:pPr>
    </w:p>
    <w:p>
      <w:pPr>
        <w:pStyle w:val="BodyText"/>
        <w:tabs>
          <w:tab w:pos="5477" w:val="left" w:leader="none"/>
        </w:tabs>
        <w:spacing w:before="162"/>
        <w:ind w:left="580"/>
      </w:pPr>
      <w:r>
        <w:rPr/>
        <w:t>DHS Chief</w:t>
      </w:r>
      <w:r>
        <w:rPr>
          <w:spacing w:val="-1"/>
        </w:rPr>
        <w:t> </w:t>
      </w:r>
      <w:r>
        <w:rPr/>
        <w:t>Procurement</w:t>
      </w:r>
      <w:r>
        <w:rPr>
          <w:spacing w:val="-3"/>
        </w:rPr>
        <w:t> </w:t>
      </w:r>
      <w:r>
        <w:rPr/>
        <w:t>Officer****</w:t>
        <w:tab/>
        <w:t>Date</w:t>
      </w:r>
    </w:p>
    <w:p>
      <w:pPr>
        <w:spacing w:line="276" w:lineRule="auto" w:before="158"/>
        <w:ind w:left="580" w:right="1393" w:firstLine="0"/>
        <w:jc w:val="left"/>
        <w:rPr>
          <w:i/>
          <w:sz w:val="22"/>
        </w:rPr>
      </w:pPr>
      <w:r>
        <w:rPr>
          <w:i/>
          <w:sz w:val="22"/>
        </w:rPr>
        <w:t>****</w:t>
      </w:r>
      <w:r>
        <w:rPr>
          <w:b/>
          <w:i/>
          <w:sz w:val="22"/>
        </w:rPr>
        <w:t>Note</w:t>
      </w:r>
      <w:r>
        <w:rPr>
          <w:i/>
          <w:sz w:val="22"/>
        </w:rPr>
        <w:t>: CPO approves: (1) when action exceeds $85.5M and when, regardless of dollar </w:t>
      </w:r>
      <w:r>
        <w:rPr>
          <w:i/>
          <w:sz w:val="22"/>
        </w:rPr>
        <w:t>amount, the contract is awarded under FAR 6.302-7, Public Interest.</w:t>
      </w:r>
    </w:p>
    <w:p>
      <w:pPr>
        <w:spacing w:after="0" w:line="276" w:lineRule="auto"/>
        <w:jc w:val="left"/>
        <w:rPr>
          <w:sz w:val="22"/>
        </w:rPr>
        <w:sectPr>
          <w:pgSz w:w="12240" w:h="15840"/>
          <w:pgMar w:header="724" w:footer="1020" w:top="2500" w:bottom="1220" w:left="860" w:right="680"/>
        </w:sectPr>
      </w:pPr>
    </w:p>
    <w:p>
      <w:pPr>
        <w:pStyle w:val="BodyText"/>
        <w:spacing w:before="8"/>
        <w:rPr>
          <w:i/>
          <w:sz w:val="19"/>
        </w:rPr>
      </w:pPr>
    </w:p>
    <w:p>
      <w:pPr>
        <w:pStyle w:val="BodyText"/>
        <w:ind w:left="551"/>
        <w:rPr>
          <w:sz w:val="20"/>
        </w:rPr>
      </w:pPr>
      <w:r>
        <w:rPr>
          <w:sz w:val="20"/>
        </w:rPr>
        <w:pict>
          <v:shape style="width:471pt;height:18.150pt;mso-position-horizontal-relative:char;mso-position-vertical-relative:line" type="#_x0000_t202" filled="true" fillcolor="#d9d9d9" stroked="false">
            <w10:anchorlock/>
            <v:textbox inset="0,0,0,0">
              <w:txbxContent>
                <w:p>
                  <w:pPr>
                    <w:spacing w:before="18"/>
                    <w:ind w:left="28" w:right="0" w:firstLine="0"/>
                    <w:jc w:val="left"/>
                    <w:rPr>
                      <w:b/>
                      <w:sz w:val="28"/>
                    </w:rPr>
                  </w:pPr>
                  <w:bookmarkStart w:name="_bookmark48" w:id="82"/>
                  <w:bookmarkEnd w:id="82"/>
                  <w:r>
                    <w:rPr/>
                  </w:r>
                  <w:r>
                    <w:rPr>
                      <w:b/>
                      <w:sz w:val="28"/>
                    </w:rPr>
                    <w:t>Appendix E – Sample Statement of Work</w:t>
                  </w:r>
                </w:p>
              </w:txbxContent>
            </v:textbox>
            <v:fill type="solid"/>
          </v:shape>
        </w:pict>
      </w:r>
      <w:r>
        <w:rPr>
          <w:sz w:val="20"/>
        </w:rPr>
      </w:r>
    </w:p>
    <w:p>
      <w:pPr>
        <w:pStyle w:val="BodyText"/>
        <w:spacing w:before="10"/>
        <w:rPr>
          <w:i/>
          <w:sz w:val="27"/>
        </w:rPr>
      </w:pPr>
    </w:p>
    <w:p>
      <w:pPr>
        <w:spacing w:before="94"/>
        <w:ind w:left="2889" w:right="0" w:firstLine="0"/>
        <w:jc w:val="left"/>
        <w:rPr>
          <w:b/>
          <w:sz w:val="22"/>
        </w:rPr>
      </w:pPr>
      <w:r>
        <w:rPr/>
        <w:pict>
          <v:line style="position:absolute;mso-position-horizontal-relative:page;mso-position-vertical-relative:paragraph;z-index:3016" from="70.584pt,-35.76215pt" to="541.564pt,-35.76215pt" stroked="true" strokeweight=".48pt" strokecolor="#808080">
            <v:stroke dashstyle="solid"/>
            <w10:wrap type="none"/>
          </v:line>
        </w:pict>
      </w:r>
      <w:r>
        <w:rPr/>
        <w:pict>
          <v:line style="position:absolute;mso-position-horizontal-relative:page;mso-position-vertical-relative:paragraph;z-index:3040" from="70.584pt,-17.142149pt" to="541.564pt,-17.142149pt" stroked="true" strokeweight=".48pt" strokecolor="#808080">
            <v:stroke dashstyle="solid"/>
            <w10:wrap type="none"/>
          </v:line>
        </w:pict>
      </w:r>
      <w:r>
        <w:rPr>
          <w:b/>
          <w:sz w:val="22"/>
          <w:u w:val="thick"/>
        </w:rPr>
        <w:t>SAMPLE - Advanced Metering Scope of Work</w:t>
      </w:r>
    </w:p>
    <w:p>
      <w:pPr>
        <w:spacing w:before="159"/>
        <w:ind w:left="580" w:right="0" w:firstLine="0"/>
        <w:jc w:val="left"/>
        <w:rPr>
          <w:b/>
          <w:sz w:val="22"/>
        </w:rPr>
      </w:pPr>
      <w:r>
        <w:rPr>
          <w:b/>
          <w:sz w:val="22"/>
          <w:u w:val="thick"/>
        </w:rPr>
        <w:t>Intent</w:t>
      </w:r>
    </w:p>
    <w:p>
      <w:pPr>
        <w:pStyle w:val="BodyText"/>
        <w:spacing w:line="276" w:lineRule="auto" w:before="160"/>
        <w:ind w:left="580" w:right="744"/>
      </w:pPr>
      <w:r>
        <w:rPr/>
        <w:t>The intent of the advanced metering scope of work is to capture the energy and water consumption of buildings and vessels throughout the Coast Guard. The focus is to meter facilities at the individual building level and to measure the energy and water consumption of cutters connected to their shore ties while in port. This effort also satisfies the Coast Guard’s obligation to meet requirements mandated as part of the Energy Policy Act (EPAct) of 2005, and the Energy Independence and Security Act (EISA) of 2007.</w:t>
      </w:r>
    </w:p>
    <w:p>
      <w:pPr>
        <w:spacing w:before="118"/>
        <w:ind w:left="580" w:right="0" w:firstLine="0"/>
        <w:jc w:val="left"/>
        <w:rPr>
          <w:b/>
          <w:sz w:val="22"/>
        </w:rPr>
      </w:pPr>
      <w:r>
        <w:rPr>
          <w:b/>
          <w:sz w:val="22"/>
          <w:u w:val="thick"/>
        </w:rPr>
        <w:t>Requirements</w:t>
      </w:r>
    </w:p>
    <w:p>
      <w:pPr>
        <w:pStyle w:val="ListParagraph"/>
        <w:numPr>
          <w:ilvl w:val="1"/>
          <w:numId w:val="23"/>
        </w:numPr>
        <w:tabs>
          <w:tab w:pos="1300" w:val="left" w:leader="none"/>
          <w:tab w:pos="1301" w:val="left" w:leader="none"/>
        </w:tabs>
        <w:spacing w:line="228" w:lineRule="auto" w:before="144" w:after="0"/>
        <w:ind w:left="1300" w:right="763" w:hanging="360"/>
        <w:jc w:val="left"/>
        <w:rPr>
          <w:sz w:val="22"/>
        </w:rPr>
      </w:pPr>
      <w:r>
        <w:rPr>
          <w:sz w:val="22"/>
        </w:rPr>
        <w:t>All Advanced Metering equipment shall be in accordance with the USCG Advanced Metering Infrastructure Configuration Standard Technical Order (AMI CSTO) (servers, I/O flex modules, modems, wireless transceivers, electric, gas and water meters, etc.) All AMI equipment installed shall be fully compatible with the Data Acquisition Server (DAS) Model A8812. Wireless transceivers, called Modhoppers shall be Model 9120-5 (256 bit AES encryption technology), manufactured by Obvius, LLC or</w:t>
      </w:r>
      <w:r>
        <w:rPr>
          <w:spacing w:val="-4"/>
          <w:sz w:val="22"/>
        </w:rPr>
        <w:t> </w:t>
      </w:r>
      <w:r>
        <w:rPr>
          <w:sz w:val="22"/>
        </w:rPr>
        <w:t>equivalent.</w:t>
      </w:r>
    </w:p>
    <w:p>
      <w:pPr>
        <w:pStyle w:val="ListParagraph"/>
        <w:numPr>
          <w:ilvl w:val="1"/>
          <w:numId w:val="23"/>
        </w:numPr>
        <w:tabs>
          <w:tab w:pos="1300" w:val="left" w:leader="none"/>
          <w:tab w:pos="1301" w:val="left" w:leader="none"/>
        </w:tabs>
        <w:spacing w:line="240" w:lineRule="exact" w:before="0" w:after="0"/>
        <w:ind w:left="1300" w:right="1103" w:hanging="360"/>
        <w:jc w:val="left"/>
        <w:rPr>
          <w:sz w:val="22"/>
        </w:rPr>
      </w:pPr>
      <w:r>
        <w:rPr>
          <w:sz w:val="22"/>
        </w:rPr>
        <w:t>All equipment installed to include associated cabling and hardware shall be weather resistant or installed in a weather resistant NEMA-rated enclosure per manufacturer’s instructions.</w:t>
      </w:r>
    </w:p>
    <w:p>
      <w:pPr>
        <w:pStyle w:val="ListParagraph"/>
        <w:numPr>
          <w:ilvl w:val="1"/>
          <w:numId w:val="23"/>
        </w:numPr>
        <w:tabs>
          <w:tab w:pos="1300" w:val="left" w:leader="none"/>
          <w:tab w:pos="1301" w:val="left" w:leader="none"/>
        </w:tabs>
        <w:spacing w:line="240" w:lineRule="exact" w:before="0" w:after="0"/>
        <w:ind w:left="1300" w:right="860" w:hanging="360"/>
        <w:jc w:val="left"/>
        <w:rPr>
          <w:sz w:val="22"/>
        </w:rPr>
      </w:pPr>
      <w:r>
        <w:rPr>
          <w:sz w:val="22"/>
        </w:rPr>
        <w:t>All equipment shall be installed per manufacturer’s instructions with latest firmware and shall comply with NEC standards, industry specifications and standards and local codes for performance, reliability, and compatibility and security (see Technote 88</w:t>
      </w:r>
      <w:r>
        <w:rPr>
          <w:spacing w:val="-23"/>
          <w:sz w:val="22"/>
        </w:rPr>
        <w:t> </w:t>
      </w:r>
      <w:r>
        <w:rPr>
          <w:sz w:val="22"/>
        </w:rPr>
        <w:t>Security</w:t>
      </w:r>
    </w:p>
    <w:p>
      <w:pPr>
        <w:pStyle w:val="BodyText"/>
        <w:spacing w:line="228" w:lineRule="auto"/>
        <w:ind w:left="1300" w:right="1419"/>
      </w:pPr>
      <w:r>
        <w:rPr/>
        <w:t>Best Practices - Table 5-3 of AMI CSTO.) The latest installation manuals and best practices for the DAS and transceivers can be found on the CG AMI Portal – </w:t>
      </w:r>
      <w:hyperlink r:id="rId10">
        <w:r>
          <w:rPr>
            <w:color w:val="0000FF"/>
            <w:u w:val="single" w:color="0000FF"/>
          </w:rPr>
          <w:t>http://CGlink.uscg.mil/AMI</w:t>
        </w:r>
        <w:r>
          <w:rPr>
            <w:color w:val="0000FF"/>
          </w:rPr>
          <w:t> </w:t>
        </w:r>
      </w:hyperlink>
      <w:r>
        <w:rPr/>
        <w:t>or </w:t>
      </w:r>
      <w:hyperlink r:id="rId38">
        <w:r>
          <w:rPr>
            <w:color w:val="0000FF"/>
            <w:u w:val="single" w:color="0000FF"/>
          </w:rPr>
          <w:t>www.obvius.com</w:t>
        </w:r>
      </w:hyperlink>
      <w:r>
        <w:rPr/>
        <w:t>.</w:t>
      </w:r>
    </w:p>
    <w:p>
      <w:pPr>
        <w:pStyle w:val="ListParagraph"/>
        <w:numPr>
          <w:ilvl w:val="1"/>
          <w:numId w:val="23"/>
        </w:numPr>
        <w:tabs>
          <w:tab w:pos="1300" w:val="left" w:leader="none"/>
          <w:tab w:pos="1301" w:val="left" w:leader="none"/>
        </w:tabs>
        <w:spacing w:line="240" w:lineRule="exact" w:before="0" w:after="0"/>
        <w:ind w:left="1300" w:right="865" w:hanging="360"/>
        <w:jc w:val="left"/>
        <w:rPr>
          <w:sz w:val="22"/>
        </w:rPr>
      </w:pPr>
      <w:r>
        <w:rPr>
          <w:sz w:val="22"/>
        </w:rPr>
        <w:t>Prior to the installation of the equipment, the contractor shall provide the Coast Guard with the number of DAS’s, metering devices and transceivers to be installed. Upon receipt of the information, DAS, meter and transceiver device names will be provided</w:t>
      </w:r>
      <w:r>
        <w:rPr>
          <w:spacing w:val="-26"/>
          <w:sz w:val="22"/>
        </w:rPr>
        <w:t> </w:t>
      </w:r>
      <w:r>
        <w:rPr>
          <w:sz w:val="22"/>
        </w:rPr>
        <w:t>by the Coast Guard to the</w:t>
      </w:r>
      <w:r>
        <w:rPr>
          <w:spacing w:val="-5"/>
          <w:sz w:val="22"/>
        </w:rPr>
        <w:t> </w:t>
      </w:r>
      <w:r>
        <w:rPr>
          <w:sz w:val="22"/>
        </w:rPr>
        <w:t>contractor.</w:t>
      </w:r>
    </w:p>
    <w:p>
      <w:pPr>
        <w:pStyle w:val="ListParagraph"/>
        <w:numPr>
          <w:ilvl w:val="1"/>
          <w:numId w:val="23"/>
        </w:numPr>
        <w:tabs>
          <w:tab w:pos="1300" w:val="left" w:leader="none"/>
          <w:tab w:pos="1301" w:val="left" w:leader="none"/>
        </w:tabs>
        <w:spacing w:line="240" w:lineRule="exact" w:before="0" w:after="0"/>
        <w:ind w:left="1300" w:right="824" w:hanging="360"/>
        <w:jc w:val="left"/>
        <w:rPr>
          <w:sz w:val="22"/>
        </w:rPr>
      </w:pPr>
      <w:r>
        <w:rPr>
          <w:sz w:val="22"/>
        </w:rPr>
        <w:t>Install equipment rigidly and adequately for the operating environment. This includes the use of blocking for support and special fasteners if necessary to ensure tight and secure mounting of equipment. RS485 cable, power cable, and any other wires shall be neatly routed and secured resulting in a neat, orderly appearance. RS485 wiring shall be protected from abrasion upon passing through electrical panel cutout or</w:t>
      </w:r>
      <w:r>
        <w:rPr>
          <w:spacing w:val="-7"/>
          <w:sz w:val="22"/>
        </w:rPr>
        <w:t> </w:t>
      </w:r>
      <w:r>
        <w:rPr>
          <w:sz w:val="22"/>
        </w:rPr>
        <w:t>hole.</w:t>
      </w:r>
    </w:p>
    <w:p>
      <w:pPr>
        <w:pStyle w:val="ListParagraph"/>
        <w:numPr>
          <w:ilvl w:val="1"/>
          <w:numId w:val="23"/>
        </w:numPr>
        <w:tabs>
          <w:tab w:pos="1300" w:val="left" w:leader="none"/>
          <w:tab w:pos="1301" w:val="left" w:leader="none"/>
        </w:tabs>
        <w:spacing w:line="240" w:lineRule="exact" w:before="0" w:after="0"/>
        <w:ind w:left="1300" w:right="819" w:hanging="360"/>
        <w:jc w:val="left"/>
        <w:rPr>
          <w:sz w:val="22"/>
        </w:rPr>
      </w:pPr>
      <w:r>
        <w:rPr>
          <w:sz w:val="22"/>
        </w:rPr>
        <w:t>No wires shall be installed running along/up the exterior façade. All wires shall enter the building and run internally in wall systems or service</w:t>
      </w:r>
      <w:r>
        <w:rPr>
          <w:spacing w:val="-6"/>
          <w:sz w:val="22"/>
        </w:rPr>
        <w:t> </w:t>
      </w:r>
      <w:r>
        <w:rPr>
          <w:sz w:val="22"/>
        </w:rPr>
        <w:t>rooms.</w:t>
      </w:r>
    </w:p>
    <w:p>
      <w:pPr>
        <w:pStyle w:val="ListParagraph"/>
        <w:numPr>
          <w:ilvl w:val="1"/>
          <w:numId w:val="23"/>
        </w:numPr>
        <w:tabs>
          <w:tab w:pos="1300" w:val="left" w:leader="none"/>
          <w:tab w:pos="1301" w:val="left" w:leader="none"/>
        </w:tabs>
        <w:spacing w:line="226" w:lineRule="exact" w:before="0" w:after="0"/>
        <w:ind w:left="1300" w:right="0" w:hanging="360"/>
        <w:jc w:val="left"/>
        <w:rPr>
          <w:sz w:val="22"/>
        </w:rPr>
      </w:pPr>
      <w:r>
        <w:rPr>
          <w:sz w:val="22"/>
        </w:rPr>
        <w:t>All Cables to be continuous with no cable</w:t>
      </w:r>
      <w:r>
        <w:rPr>
          <w:spacing w:val="-3"/>
          <w:sz w:val="22"/>
        </w:rPr>
        <w:t> </w:t>
      </w:r>
      <w:r>
        <w:rPr>
          <w:sz w:val="22"/>
        </w:rPr>
        <w:t>splices.</w:t>
      </w:r>
    </w:p>
    <w:p>
      <w:pPr>
        <w:pStyle w:val="ListParagraph"/>
        <w:numPr>
          <w:ilvl w:val="1"/>
          <w:numId w:val="23"/>
        </w:numPr>
        <w:tabs>
          <w:tab w:pos="1300" w:val="left" w:leader="none"/>
          <w:tab w:pos="1301" w:val="left" w:leader="none"/>
        </w:tabs>
        <w:spacing w:line="228" w:lineRule="auto" w:before="0" w:after="0"/>
        <w:ind w:left="1300" w:right="888" w:hanging="360"/>
        <w:jc w:val="left"/>
        <w:rPr>
          <w:sz w:val="22"/>
        </w:rPr>
      </w:pPr>
      <w:r>
        <w:rPr>
          <w:sz w:val="22"/>
        </w:rPr>
        <w:t>Install transceivers as per manufacturer's recommendations and best practices-side or rear facades of buildings if possible, in order to maximize strength of wireless communication. If the wireless connection between transceivers is weak or intermittent, additional relay transceiver(s) or external antennas shall be installed to facilitate</w:t>
      </w:r>
      <w:r>
        <w:rPr>
          <w:spacing w:val="-31"/>
          <w:sz w:val="22"/>
        </w:rPr>
        <w:t> </w:t>
      </w:r>
      <w:r>
        <w:rPr>
          <w:sz w:val="22"/>
        </w:rPr>
        <w:t>reliable communication.</w:t>
      </w:r>
    </w:p>
    <w:p>
      <w:pPr>
        <w:pStyle w:val="ListParagraph"/>
        <w:numPr>
          <w:ilvl w:val="1"/>
          <w:numId w:val="23"/>
        </w:numPr>
        <w:tabs>
          <w:tab w:pos="1301" w:val="left" w:leader="none"/>
        </w:tabs>
        <w:spacing w:line="237" w:lineRule="auto" w:before="119" w:after="0"/>
        <w:ind w:left="1300" w:right="766" w:hanging="360"/>
        <w:jc w:val="both"/>
        <w:rPr>
          <w:sz w:val="22"/>
        </w:rPr>
      </w:pPr>
      <w:r>
        <w:rPr>
          <w:sz w:val="22"/>
        </w:rPr>
        <w:t>If remote or external Antenna is required, the location shall be line of site with</w:t>
      </w:r>
      <w:r>
        <w:rPr>
          <w:spacing w:val="-28"/>
          <w:sz w:val="22"/>
        </w:rPr>
        <w:t> </w:t>
      </w:r>
      <w:r>
        <w:rPr>
          <w:sz w:val="22"/>
        </w:rPr>
        <w:t>continuous cable. The type of Antenna shall be designed for outdoor use and most extreme weather conditions.</w:t>
      </w:r>
    </w:p>
    <w:p>
      <w:pPr>
        <w:spacing w:after="0" w:line="237" w:lineRule="auto"/>
        <w:jc w:val="both"/>
        <w:rPr>
          <w:sz w:val="22"/>
        </w:rPr>
        <w:sectPr>
          <w:headerReference w:type="default" r:id="rId45"/>
          <w:footerReference w:type="default" r:id="rId46"/>
          <w:pgSz w:w="12240" w:h="15840"/>
          <w:pgMar w:header="724" w:footer="1020" w:top="1220" w:bottom="1220" w:left="860" w:right="680"/>
          <w:pgNumType w:start="1"/>
        </w:sectPr>
      </w:pPr>
    </w:p>
    <w:p>
      <w:pPr>
        <w:pStyle w:val="ListParagraph"/>
        <w:numPr>
          <w:ilvl w:val="1"/>
          <w:numId w:val="23"/>
        </w:numPr>
        <w:tabs>
          <w:tab w:pos="1300" w:val="left" w:leader="none"/>
          <w:tab w:pos="1301" w:val="left" w:leader="none"/>
        </w:tabs>
        <w:spacing w:line="225" w:lineRule="auto" w:before="201" w:after="0"/>
        <w:ind w:left="1300" w:right="994" w:hanging="360"/>
        <w:jc w:val="left"/>
        <w:rPr>
          <w:sz w:val="22"/>
        </w:rPr>
      </w:pPr>
      <w:r>
        <w:rPr>
          <w:sz w:val="22"/>
        </w:rPr>
        <w:t>Upon final installation, equipment shall not interfere with the panel board or switchgear covers or</w:t>
      </w:r>
      <w:r>
        <w:rPr>
          <w:spacing w:val="-1"/>
          <w:sz w:val="22"/>
        </w:rPr>
        <w:t> </w:t>
      </w:r>
      <w:r>
        <w:rPr>
          <w:sz w:val="22"/>
        </w:rPr>
        <w:t>doors.</w:t>
      </w:r>
    </w:p>
    <w:p>
      <w:pPr>
        <w:pStyle w:val="ListParagraph"/>
        <w:numPr>
          <w:ilvl w:val="1"/>
          <w:numId w:val="23"/>
        </w:numPr>
        <w:tabs>
          <w:tab w:pos="1300" w:val="left" w:leader="none"/>
          <w:tab w:pos="1301" w:val="left" w:leader="none"/>
        </w:tabs>
        <w:spacing w:line="237" w:lineRule="auto" w:before="7" w:after="0"/>
        <w:ind w:left="1300" w:right="934" w:hanging="360"/>
        <w:jc w:val="left"/>
        <w:rPr>
          <w:sz w:val="22"/>
        </w:rPr>
      </w:pPr>
      <w:r>
        <w:rPr>
          <w:sz w:val="22"/>
        </w:rPr>
        <w:t>The contractor shall ensure that the DAS and transceivers are connected to an existing or new 110-120VAC power</w:t>
      </w:r>
      <w:r>
        <w:rPr>
          <w:spacing w:val="-2"/>
          <w:sz w:val="22"/>
        </w:rPr>
        <w:t> </w:t>
      </w:r>
      <w:r>
        <w:rPr>
          <w:sz w:val="22"/>
        </w:rPr>
        <w:t>supply.</w:t>
      </w:r>
    </w:p>
    <w:p>
      <w:pPr>
        <w:pStyle w:val="ListParagraph"/>
        <w:numPr>
          <w:ilvl w:val="1"/>
          <w:numId w:val="23"/>
        </w:numPr>
        <w:tabs>
          <w:tab w:pos="1300" w:val="left" w:leader="none"/>
          <w:tab w:pos="1301" w:val="left" w:leader="none"/>
        </w:tabs>
        <w:spacing w:line="240" w:lineRule="exact" w:before="2" w:after="0"/>
        <w:ind w:left="1300" w:right="1192" w:hanging="360"/>
        <w:jc w:val="left"/>
        <w:rPr>
          <w:sz w:val="22"/>
        </w:rPr>
      </w:pPr>
      <w:r>
        <w:rPr>
          <w:sz w:val="22"/>
        </w:rPr>
        <w:t>The Coast Guard will provide diagrams and drawings of the current metering system installed throughout the</w:t>
      </w:r>
      <w:r>
        <w:rPr>
          <w:spacing w:val="-4"/>
          <w:sz w:val="22"/>
        </w:rPr>
        <w:t> </w:t>
      </w:r>
      <w:r>
        <w:rPr>
          <w:sz w:val="22"/>
        </w:rPr>
        <w:t>facility.</w:t>
      </w:r>
    </w:p>
    <w:p>
      <w:pPr>
        <w:pStyle w:val="ListParagraph"/>
        <w:numPr>
          <w:ilvl w:val="1"/>
          <w:numId w:val="23"/>
        </w:numPr>
        <w:tabs>
          <w:tab w:pos="1300" w:val="left" w:leader="none"/>
          <w:tab w:pos="1301" w:val="left" w:leader="none"/>
        </w:tabs>
        <w:spacing w:line="240" w:lineRule="exact" w:before="0" w:after="0"/>
        <w:ind w:left="1300" w:right="846" w:hanging="360"/>
        <w:jc w:val="left"/>
        <w:rPr>
          <w:sz w:val="22"/>
        </w:rPr>
      </w:pPr>
      <w:r>
        <w:rPr>
          <w:sz w:val="22"/>
        </w:rPr>
        <w:t>Programming of the equipment shall be in accordance with the manufacturer’s Installation and Operation Manual. The Coast Guard will provide the contractor with access to the existing DAS to obtain the existing Modbus addresses, radio channel, and other pertinent</w:t>
      </w:r>
      <w:r>
        <w:rPr>
          <w:spacing w:val="-1"/>
          <w:sz w:val="22"/>
        </w:rPr>
        <w:t> </w:t>
      </w:r>
      <w:r>
        <w:rPr>
          <w:sz w:val="22"/>
        </w:rPr>
        <w:t>information.</w:t>
      </w:r>
    </w:p>
    <w:p>
      <w:pPr>
        <w:pStyle w:val="ListParagraph"/>
        <w:numPr>
          <w:ilvl w:val="1"/>
          <w:numId w:val="23"/>
        </w:numPr>
        <w:tabs>
          <w:tab w:pos="1300" w:val="left" w:leader="none"/>
          <w:tab w:pos="1301" w:val="left" w:leader="none"/>
        </w:tabs>
        <w:spacing w:line="237" w:lineRule="auto" w:before="2" w:after="0"/>
        <w:ind w:left="1300" w:right="996" w:hanging="360"/>
        <w:jc w:val="left"/>
        <w:rPr>
          <w:sz w:val="22"/>
        </w:rPr>
      </w:pPr>
      <w:r>
        <w:rPr>
          <w:sz w:val="22"/>
        </w:rPr>
        <w:t>A cellular modem shall be installed as part of the DAS installation or add to existing DAS. Contractor or unit shall notify USCG SILC Energy Branch 30 days in advance to request cellular ISP information for</w:t>
      </w:r>
      <w:r>
        <w:rPr>
          <w:spacing w:val="-7"/>
          <w:sz w:val="22"/>
        </w:rPr>
        <w:t> </w:t>
      </w:r>
      <w:r>
        <w:rPr>
          <w:sz w:val="22"/>
        </w:rPr>
        <w:t>connectivity.</w:t>
      </w:r>
    </w:p>
    <w:p>
      <w:pPr>
        <w:pStyle w:val="ListParagraph"/>
        <w:numPr>
          <w:ilvl w:val="2"/>
          <w:numId w:val="23"/>
        </w:numPr>
        <w:tabs>
          <w:tab w:pos="2020" w:val="left" w:leader="none"/>
          <w:tab w:pos="2021" w:val="left" w:leader="none"/>
        </w:tabs>
        <w:spacing w:line="225" w:lineRule="auto" w:before="132" w:after="0"/>
        <w:ind w:left="2020" w:right="1449" w:hanging="360"/>
        <w:jc w:val="left"/>
        <w:rPr>
          <w:sz w:val="22"/>
        </w:rPr>
      </w:pPr>
      <w:r>
        <w:rPr>
          <w:sz w:val="22"/>
        </w:rPr>
        <w:t>The DAS shall be connected to cellular modem compatible with the USCG Cellular and Internet Service Provider (ISP)</w:t>
      </w:r>
      <w:r>
        <w:rPr>
          <w:spacing w:val="-3"/>
          <w:sz w:val="22"/>
        </w:rPr>
        <w:t> </w:t>
      </w:r>
      <w:r>
        <w:rPr>
          <w:sz w:val="22"/>
        </w:rPr>
        <w:t>service.</w:t>
      </w:r>
    </w:p>
    <w:p>
      <w:pPr>
        <w:pStyle w:val="ListParagraph"/>
        <w:numPr>
          <w:ilvl w:val="2"/>
          <w:numId w:val="23"/>
        </w:numPr>
        <w:tabs>
          <w:tab w:pos="2021" w:val="left" w:leader="none"/>
        </w:tabs>
        <w:spacing w:line="230" w:lineRule="auto" w:before="128" w:after="0"/>
        <w:ind w:left="2020" w:right="1083" w:hanging="360"/>
        <w:jc w:val="both"/>
        <w:rPr>
          <w:sz w:val="22"/>
        </w:rPr>
      </w:pPr>
      <w:r>
        <w:rPr>
          <w:sz w:val="22"/>
        </w:rPr>
        <w:t>If Cellular Service in not available, the DAS shall be configured to dial out land line or POTS (Plain Old Telephone Service) using the ISP phone number and access.</w:t>
      </w:r>
    </w:p>
    <w:p>
      <w:pPr>
        <w:pStyle w:val="ListParagraph"/>
        <w:numPr>
          <w:ilvl w:val="1"/>
          <w:numId w:val="23"/>
        </w:numPr>
        <w:tabs>
          <w:tab w:pos="1300" w:val="left" w:leader="none"/>
          <w:tab w:pos="1301" w:val="left" w:leader="none"/>
        </w:tabs>
        <w:spacing w:line="228" w:lineRule="auto" w:before="107" w:after="0"/>
        <w:ind w:left="1300" w:right="967" w:hanging="360"/>
        <w:jc w:val="left"/>
        <w:rPr>
          <w:sz w:val="22"/>
        </w:rPr>
      </w:pPr>
      <w:r>
        <w:rPr>
          <w:sz w:val="22"/>
        </w:rPr>
        <w:t>DASs and Transceivers shall be numbered. The numbering scheme shall be in accordance with the AMI Equipment Device Naming Convention - (AMI CSTO-Appx F) and be approved by the Coast Guard prior to installation. Each DAS, I/O Flex Module and Transceiver installed shall be physically labeled with the corresponding</w:t>
      </w:r>
      <w:r>
        <w:rPr>
          <w:spacing w:val="-19"/>
          <w:sz w:val="22"/>
        </w:rPr>
        <w:t> </w:t>
      </w:r>
      <w:r>
        <w:rPr>
          <w:sz w:val="22"/>
        </w:rPr>
        <w:t>number.</w:t>
      </w:r>
    </w:p>
    <w:p>
      <w:pPr>
        <w:pStyle w:val="ListParagraph"/>
        <w:numPr>
          <w:ilvl w:val="1"/>
          <w:numId w:val="23"/>
        </w:numPr>
        <w:tabs>
          <w:tab w:pos="1300" w:val="left" w:leader="none"/>
          <w:tab w:pos="1301" w:val="left" w:leader="none"/>
        </w:tabs>
        <w:spacing w:line="240" w:lineRule="auto" w:before="1" w:after="0"/>
        <w:ind w:left="1300" w:right="770" w:hanging="360"/>
        <w:jc w:val="left"/>
        <w:rPr>
          <w:sz w:val="22"/>
        </w:rPr>
      </w:pPr>
      <w:r>
        <w:rPr>
          <w:sz w:val="22"/>
        </w:rPr>
        <w:t>If removal of existing advanced metering components is necessary as part of the scope of work, the Contractor shall reuse existing equipment where possible and return unused equipment to the Facilities Engineer (FE) or Engineering Petty Officer (EPO). Wall finish will be restored to original condition or better (patched and painted to match surrounding finish) for any equipment</w:t>
      </w:r>
      <w:r>
        <w:rPr>
          <w:spacing w:val="-9"/>
          <w:sz w:val="22"/>
        </w:rPr>
        <w:t> </w:t>
      </w:r>
      <w:r>
        <w:rPr>
          <w:sz w:val="22"/>
        </w:rPr>
        <w:t>removed.</w:t>
      </w:r>
    </w:p>
    <w:p>
      <w:pPr>
        <w:pStyle w:val="ListParagraph"/>
        <w:numPr>
          <w:ilvl w:val="1"/>
          <w:numId w:val="23"/>
        </w:numPr>
        <w:tabs>
          <w:tab w:pos="1300" w:val="left" w:leader="none"/>
          <w:tab w:pos="1301" w:val="left" w:leader="none"/>
        </w:tabs>
        <w:spacing w:line="237" w:lineRule="auto" w:before="0" w:after="0"/>
        <w:ind w:left="1300" w:right="808" w:hanging="360"/>
        <w:jc w:val="left"/>
        <w:rPr>
          <w:sz w:val="22"/>
        </w:rPr>
      </w:pPr>
      <w:r>
        <w:rPr>
          <w:sz w:val="22"/>
        </w:rPr>
        <w:t>The Contractor shall arrange for a representative from Obvius, LLC to be on-site for final system configuration as part of any contracts to install metering</w:t>
      </w:r>
      <w:r>
        <w:rPr>
          <w:spacing w:val="-11"/>
          <w:sz w:val="22"/>
        </w:rPr>
        <w:t> </w:t>
      </w:r>
      <w:r>
        <w:rPr>
          <w:sz w:val="22"/>
        </w:rPr>
        <w:t>equipment.</w:t>
      </w:r>
    </w:p>
    <w:p>
      <w:pPr>
        <w:pStyle w:val="ListParagraph"/>
        <w:numPr>
          <w:ilvl w:val="1"/>
          <w:numId w:val="23"/>
        </w:numPr>
        <w:tabs>
          <w:tab w:pos="1300" w:val="left" w:leader="none"/>
          <w:tab w:pos="1301" w:val="left" w:leader="none"/>
        </w:tabs>
        <w:spacing w:line="500" w:lineRule="atLeast" w:before="143" w:after="0"/>
        <w:ind w:left="1300" w:right="8587" w:hanging="360"/>
        <w:jc w:val="left"/>
        <w:rPr>
          <w:sz w:val="22"/>
        </w:rPr>
      </w:pPr>
      <w:r>
        <w:rPr>
          <w:b/>
          <w:sz w:val="22"/>
        </w:rPr>
        <w:t>Meters Genera</w:t>
      </w:r>
      <w:r>
        <w:rPr>
          <w:sz w:val="22"/>
        </w:rPr>
        <w:t>l</w:t>
      </w:r>
    </w:p>
    <w:p>
      <w:pPr>
        <w:pStyle w:val="ListParagraph"/>
        <w:numPr>
          <w:ilvl w:val="2"/>
          <w:numId w:val="23"/>
        </w:numPr>
        <w:tabs>
          <w:tab w:pos="2020" w:val="left" w:leader="none"/>
          <w:tab w:pos="2021" w:val="left" w:leader="none"/>
        </w:tabs>
        <w:spacing w:line="223" w:lineRule="auto" w:before="137" w:after="0"/>
        <w:ind w:left="2020" w:right="915" w:hanging="360"/>
        <w:jc w:val="left"/>
        <w:rPr>
          <w:sz w:val="22"/>
        </w:rPr>
      </w:pPr>
      <w:r>
        <w:rPr>
          <w:sz w:val="22"/>
        </w:rPr>
        <w:t>All equipment shall be installed in strict compliance with the manufacturer's instructions and shall include commissioning into the Acquisition Server</w:t>
      </w:r>
      <w:r>
        <w:rPr>
          <w:spacing w:val="-24"/>
          <w:sz w:val="22"/>
        </w:rPr>
        <w:t> </w:t>
      </w:r>
      <w:r>
        <w:rPr>
          <w:sz w:val="22"/>
        </w:rPr>
        <w:t>system.</w:t>
      </w:r>
    </w:p>
    <w:p>
      <w:pPr>
        <w:pStyle w:val="ListParagraph"/>
        <w:numPr>
          <w:ilvl w:val="2"/>
          <w:numId w:val="23"/>
        </w:numPr>
        <w:tabs>
          <w:tab w:pos="2020" w:val="left" w:leader="none"/>
          <w:tab w:pos="2021" w:val="left" w:leader="none"/>
        </w:tabs>
        <w:spacing w:line="223" w:lineRule="auto" w:before="16" w:after="0"/>
        <w:ind w:left="2020" w:right="926" w:hanging="360"/>
        <w:jc w:val="left"/>
        <w:rPr>
          <w:sz w:val="22"/>
        </w:rPr>
      </w:pPr>
      <w:r>
        <w:rPr>
          <w:sz w:val="22"/>
        </w:rPr>
        <w:t>The</w:t>
      </w:r>
      <w:r>
        <w:rPr>
          <w:spacing w:val="-6"/>
          <w:sz w:val="22"/>
        </w:rPr>
        <w:t> </w:t>
      </w:r>
      <w:r>
        <w:rPr>
          <w:sz w:val="22"/>
        </w:rPr>
        <w:t>meters</w:t>
      </w:r>
      <w:r>
        <w:rPr>
          <w:spacing w:val="-4"/>
          <w:sz w:val="22"/>
        </w:rPr>
        <w:t> </w:t>
      </w:r>
      <w:r>
        <w:rPr>
          <w:sz w:val="22"/>
        </w:rPr>
        <w:t>supplied</w:t>
      </w:r>
      <w:r>
        <w:rPr>
          <w:spacing w:val="-3"/>
          <w:sz w:val="22"/>
        </w:rPr>
        <w:t> </w:t>
      </w:r>
      <w:r>
        <w:rPr>
          <w:sz w:val="22"/>
        </w:rPr>
        <w:t>shall</w:t>
      </w:r>
      <w:r>
        <w:rPr>
          <w:spacing w:val="-3"/>
          <w:sz w:val="22"/>
        </w:rPr>
        <w:t> </w:t>
      </w:r>
      <w:r>
        <w:rPr>
          <w:sz w:val="22"/>
        </w:rPr>
        <w:t>be</w:t>
      </w:r>
      <w:r>
        <w:rPr>
          <w:spacing w:val="-3"/>
          <w:sz w:val="22"/>
        </w:rPr>
        <w:t> </w:t>
      </w:r>
      <w:r>
        <w:rPr>
          <w:sz w:val="22"/>
        </w:rPr>
        <w:t>integrated</w:t>
      </w:r>
      <w:r>
        <w:rPr>
          <w:spacing w:val="-3"/>
          <w:sz w:val="22"/>
        </w:rPr>
        <w:t> </w:t>
      </w:r>
      <w:r>
        <w:rPr>
          <w:sz w:val="22"/>
        </w:rPr>
        <w:t>into</w:t>
      </w:r>
      <w:r>
        <w:rPr>
          <w:spacing w:val="-5"/>
          <w:sz w:val="22"/>
        </w:rPr>
        <w:t> </w:t>
      </w:r>
      <w:r>
        <w:rPr>
          <w:sz w:val="22"/>
        </w:rPr>
        <w:t>the</w:t>
      </w:r>
      <w:r>
        <w:rPr>
          <w:spacing w:val="-5"/>
          <w:sz w:val="22"/>
        </w:rPr>
        <w:t> </w:t>
      </w:r>
      <w:r>
        <w:rPr>
          <w:sz w:val="22"/>
        </w:rPr>
        <w:t>Coast</w:t>
      </w:r>
      <w:r>
        <w:rPr>
          <w:spacing w:val="-4"/>
          <w:sz w:val="22"/>
        </w:rPr>
        <w:t> </w:t>
      </w:r>
      <w:r>
        <w:rPr>
          <w:sz w:val="22"/>
        </w:rPr>
        <w:t>Guard’s</w:t>
      </w:r>
      <w:r>
        <w:rPr>
          <w:spacing w:val="-5"/>
          <w:sz w:val="22"/>
        </w:rPr>
        <w:t> </w:t>
      </w:r>
      <w:r>
        <w:rPr>
          <w:sz w:val="22"/>
        </w:rPr>
        <w:t>utility</w:t>
      </w:r>
      <w:r>
        <w:rPr>
          <w:spacing w:val="-5"/>
          <w:sz w:val="22"/>
        </w:rPr>
        <w:t> </w:t>
      </w:r>
      <w:r>
        <w:rPr>
          <w:sz w:val="22"/>
        </w:rPr>
        <w:t>monitoring system.</w:t>
      </w:r>
    </w:p>
    <w:p>
      <w:pPr>
        <w:pStyle w:val="ListParagraph"/>
        <w:numPr>
          <w:ilvl w:val="2"/>
          <w:numId w:val="23"/>
        </w:numPr>
        <w:tabs>
          <w:tab w:pos="2020" w:val="left" w:leader="none"/>
          <w:tab w:pos="2021" w:val="left" w:leader="none"/>
        </w:tabs>
        <w:spacing w:line="223" w:lineRule="auto" w:before="17" w:after="0"/>
        <w:ind w:left="2020" w:right="1476" w:hanging="360"/>
        <w:jc w:val="left"/>
        <w:rPr>
          <w:sz w:val="22"/>
        </w:rPr>
      </w:pPr>
      <w:r>
        <w:rPr>
          <w:sz w:val="22"/>
        </w:rPr>
        <w:t>Meters procured by the contractor must be compatible with the</w:t>
      </w:r>
      <w:r>
        <w:rPr>
          <w:spacing w:val="-22"/>
          <w:sz w:val="22"/>
        </w:rPr>
        <w:t> </w:t>
      </w:r>
      <w:r>
        <w:rPr>
          <w:sz w:val="22"/>
        </w:rPr>
        <w:t>AcquiSuite firmware. (Firmware version v02.15.0226 and</w:t>
      </w:r>
      <w:r>
        <w:rPr>
          <w:spacing w:val="-4"/>
          <w:sz w:val="22"/>
        </w:rPr>
        <w:t> </w:t>
      </w:r>
      <w:r>
        <w:rPr>
          <w:sz w:val="22"/>
        </w:rPr>
        <w:t>newer).</w:t>
      </w:r>
    </w:p>
    <w:p>
      <w:pPr>
        <w:pStyle w:val="ListParagraph"/>
        <w:numPr>
          <w:ilvl w:val="2"/>
          <w:numId w:val="23"/>
        </w:numPr>
        <w:tabs>
          <w:tab w:pos="2020" w:val="left" w:leader="none"/>
          <w:tab w:pos="2021" w:val="left" w:leader="none"/>
        </w:tabs>
        <w:spacing w:line="262" w:lineRule="exact" w:before="3" w:after="0"/>
        <w:ind w:left="2020" w:right="0" w:hanging="360"/>
        <w:jc w:val="left"/>
        <w:rPr>
          <w:sz w:val="22"/>
        </w:rPr>
      </w:pPr>
      <w:r>
        <w:rPr>
          <w:sz w:val="22"/>
        </w:rPr>
        <w:t>The meters shall include specifications for any peripherals</w:t>
      </w:r>
      <w:r>
        <w:rPr>
          <w:spacing w:val="-11"/>
          <w:sz w:val="22"/>
        </w:rPr>
        <w:t> </w:t>
      </w:r>
      <w:r>
        <w:rPr>
          <w:sz w:val="22"/>
        </w:rPr>
        <w:t>required.</w:t>
      </w:r>
    </w:p>
    <w:p>
      <w:pPr>
        <w:pStyle w:val="ListParagraph"/>
        <w:numPr>
          <w:ilvl w:val="2"/>
          <w:numId w:val="23"/>
        </w:numPr>
        <w:tabs>
          <w:tab w:pos="2020" w:val="left" w:leader="none"/>
          <w:tab w:pos="2021" w:val="left" w:leader="none"/>
        </w:tabs>
        <w:spacing w:line="235" w:lineRule="auto" w:before="0" w:after="0"/>
        <w:ind w:left="2020" w:right="1115" w:hanging="360"/>
        <w:jc w:val="left"/>
        <w:rPr>
          <w:sz w:val="22"/>
        </w:rPr>
      </w:pPr>
      <w:r>
        <w:rPr>
          <w:sz w:val="22"/>
        </w:rPr>
        <w:t>Ground exposed, non-current-carrying metallic parts of electrical equipment, metallic raceway systems,  grounding  conductor  in  metallic  and nonmetallic raceways, telecommunications system grounds, and grounding conductor of nonmetallic sheathed cables, as well as equipment to eliminate shock hazard and to minimize ground loops, common-mode returns, noise pickup, cross talk, and other impairments in accordance with IEEE</w:t>
      </w:r>
      <w:r>
        <w:rPr>
          <w:spacing w:val="-16"/>
          <w:sz w:val="22"/>
        </w:rPr>
        <w:t> </w:t>
      </w:r>
      <w:r>
        <w:rPr>
          <w:sz w:val="22"/>
        </w:rPr>
        <w:t>1100-2005</w:t>
      </w:r>
    </w:p>
    <w:p>
      <w:pPr>
        <w:spacing w:after="0" w:line="235" w:lineRule="auto"/>
        <w:jc w:val="left"/>
        <w:rPr>
          <w:sz w:val="22"/>
        </w:rPr>
        <w:sectPr>
          <w:pgSz w:w="12240" w:h="15840"/>
          <w:pgMar w:header="724" w:footer="1020" w:top="1220" w:bottom="1220" w:left="860" w:right="680"/>
        </w:sectPr>
      </w:pPr>
    </w:p>
    <w:p>
      <w:pPr>
        <w:pStyle w:val="BodyText"/>
        <w:spacing w:before="10"/>
        <w:rPr>
          <w:sz w:val="9"/>
        </w:rPr>
      </w:pPr>
    </w:p>
    <w:p>
      <w:pPr>
        <w:pStyle w:val="ListParagraph"/>
        <w:numPr>
          <w:ilvl w:val="1"/>
          <w:numId w:val="23"/>
        </w:numPr>
        <w:tabs>
          <w:tab w:pos="1300" w:val="left" w:leader="none"/>
          <w:tab w:pos="1301" w:val="left" w:leader="none"/>
        </w:tabs>
        <w:spacing w:line="240" w:lineRule="auto" w:before="101" w:after="0"/>
        <w:ind w:left="1300" w:right="0" w:hanging="360"/>
        <w:jc w:val="left"/>
        <w:rPr>
          <w:b/>
          <w:sz w:val="22"/>
        </w:rPr>
      </w:pPr>
      <w:r>
        <w:rPr>
          <w:b/>
          <w:sz w:val="22"/>
        </w:rPr>
        <w:t>Electric</w:t>
      </w:r>
    </w:p>
    <w:p>
      <w:pPr>
        <w:pStyle w:val="ListParagraph"/>
        <w:numPr>
          <w:ilvl w:val="2"/>
          <w:numId w:val="23"/>
        </w:numPr>
        <w:tabs>
          <w:tab w:pos="2020" w:val="left" w:leader="none"/>
          <w:tab w:pos="2021" w:val="left" w:leader="none"/>
        </w:tabs>
        <w:spacing w:line="232" w:lineRule="auto" w:before="5" w:after="0"/>
        <w:ind w:left="2020" w:right="1046" w:hanging="360"/>
        <w:jc w:val="left"/>
        <w:rPr>
          <w:sz w:val="22"/>
        </w:rPr>
      </w:pPr>
      <w:r>
        <w:rPr>
          <w:sz w:val="22"/>
        </w:rPr>
        <w:t>In situations where panels have a lack of space available or if power entering panel exceeds the capacity of the Standard Configuration (480 VAC, 2400 Amperes), alternate metering solutions that meet the requirements of standard configuration will be considered as</w:t>
      </w:r>
      <w:r>
        <w:rPr>
          <w:spacing w:val="-7"/>
          <w:sz w:val="22"/>
        </w:rPr>
        <w:t> </w:t>
      </w:r>
      <w:r>
        <w:rPr>
          <w:sz w:val="22"/>
        </w:rPr>
        <w:t>follows:</w:t>
      </w:r>
    </w:p>
    <w:p>
      <w:pPr>
        <w:pStyle w:val="ListParagraph"/>
        <w:numPr>
          <w:ilvl w:val="2"/>
          <w:numId w:val="23"/>
        </w:numPr>
        <w:tabs>
          <w:tab w:pos="2020" w:val="left" w:leader="none"/>
          <w:tab w:pos="2021" w:val="left" w:leader="none"/>
        </w:tabs>
        <w:spacing w:line="230" w:lineRule="auto" w:before="12" w:after="0"/>
        <w:ind w:left="2020" w:right="814" w:hanging="360"/>
        <w:jc w:val="left"/>
        <w:rPr>
          <w:sz w:val="22"/>
        </w:rPr>
      </w:pPr>
      <w:r>
        <w:rPr>
          <w:sz w:val="22"/>
        </w:rPr>
        <w:t>1. Split Core Flexible CTs are encapsulated in silicone rubber allowing for movement when placing in a panel with minimal space. The CT’s are available in both round and rectangular</w:t>
      </w:r>
      <w:r>
        <w:rPr>
          <w:spacing w:val="-2"/>
          <w:sz w:val="22"/>
        </w:rPr>
        <w:t> </w:t>
      </w:r>
      <w:r>
        <w:rPr>
          <w:sz w:val="22"/>
        </w:rPr>
        <w:t>shapes.</w:t>
      </w:r>
    </w:p>
    <w:p>
      <w:pPr>
        <w:pStyle w:val="ListParagraph"/>
        <w:numPr>
          <w:ilvl w:val="2"/>
          <w:numId w:val="23"/>
        </w:numPr>
        <w:tabs>
          <w:tab w:pos="2020" w:val="left" w:leader="none"/>
          <w:tab w:pos="2021" w:val="left" w:leader="none"/>
        </w:tabs>
        <w:spacing w:line="235" w:lineRule="auto" w:before="6" w:after="0"/>
        <w:ind w:left="2020" w:right="950" w:hanging="360"/>
        <w:jc w:val="left"/>
        <w:rPr>
          <w:sz w:val="22"/>
        </w:rPr>
      </w:pPr>
      <w:r>
        <w:rPr>
          <w:sz w:val="22"/>
        </w:rPr>
        <w:t>2. Flexible Rope CTs have two parts, the flexible coil and compact power and energy meter. The flexible coil is shaped like a rope and fits in extremely tight spaces. The flexible coil is not a self-contained metering unit. The flexible coil</w:t>
      </w:r>
      <w:r>
        <w:rPr>
          <w:spacing w:val="-25"/>
          <w:sz w:val="22"/>
        </w:rPr>
        <w:t> </w:t>
      </w:r>
      <w:r>
        <w:rPr>
          <w:sz w:val="22"/>
        </w:rPr>
        <w:t>is hard-wired into the power and energy meter where it transmits the data to the DAS via a Modhopper</w:t>
      </w:r>
      <w:r>
        <w:rPr>
          <w:spacing w:val="1"/>
          <w:sz w:val="22"/>
        </w:rPr>
        <w:t> </w:t>
      </w:r>
      <w:r>
        <w:rPr>
          <w:sz w:val="22"/>
        </w:rPr>
        <w:t>Transceiver.</w:t>
      </w:r>
    </w:p>
    <w:p>
      <w:pPr>
        <w:pStyle w:val="BodyText"/>
        <w:spacing w:before="4"/>
        <w:rPr>
          <w:sz w:val="13"/>
        </w:rPr>
      </w:pPr>
    </w:p>
    <w:p>
      <w:pPr>
        <w:pStyle w:val="ListParagraph"/>
        <w:numPr>
          <w:ilvl w:val="1"/>
          <w:numId w:val="23"/>
        </w:numPr>
        <w:tabs>
          <w:tab w:pos="1300" w:val="left" w:leader="none"/>
          <w:tab w:pos="1301" w:val="left" w:leader="none"/>
        </w:tabs>
        <w:spacing w:line="269" w:lineRule="exact" w:before="101" w:after="0"/>
        <w:ind w:left="1300" w:right="0" w:hanging="360"/>
        <w:jc w:val="left"/>
        <w:rPr>
          <w:b/>
          <w:sz w:val="22"/>
        </w:rPr>
      </w:pPr>
      <w:r>
        <w:rPr>
          <w:b/>
          <w:sz w:val="22"/>
        </w:rPr>
        <w:t>Water</w:t>
      </w:r>
    </w:p>
    <w:p>
      <w:pPr>
        <w:pStyle w:val="ListParagraph"/>
        <w:numPr>
          <w:ilvl w:val="2"/>
          <w:numId w:val="23"/>
        </w:numPr>
        <w:tabs>
          <w:tab w:pos="2020" w:val="left" w:leader="none"/>
          <w:tab w:pos="2021" w:val="left" w:leader="none"/>
        </w:tabs>
        <w:spacing w:line="235" w:lineRule="auto" w:before="4" w:after="0"/>
        <w:ind w:left="2020" w:right="919" w:hanging="360"/>
        <w:jc w:val="left"/>
        <w:rPr>
          <w:sz w:val="22"/>
        </w:rPr>
      </w:pPr>
      <w:r>
        <w:rPr>
          <w:sz w:val="22"/>
        </w:rPr>
        <w:t>Pulse Initiators may be used on existing Utility-owned water meters with prior written consent and assistance by the Local Utility Account Representative. The Contractor shall be responsible for coordinating access to local utility owned assets and notify</w:t>
      </w:r>
      <w:r>
        <w:rPr>
          <w:spacing w:val="-5"/>
          <w:sz w:val="22"/>
        </w:rPr>
        <w:t> </w:t>
      </w:r>
      <w:r>
        <w:rPr>
          <w:sz w:val="22"/>
        </w:rPr>
        <w:t>COR.</w:t>
      </w:r>
    </w:p>
    <w:p>
      <w:pPr>
        <w:pStyle w:val="BodyText"/>
        <w:spacing w:before="10"/>
        <w:rPr>
          <w:sz w:val="12"/>
        </w:rPr>
      </w:pPr>
    </w:p>
    <w:p>
      <w:pPr>
        <w:pStyle w:val="ListParagraph"/>
        <w:numPr>
          <w:ilvl w:val="1"/>
          <w:numId w:val="23"/>
        </w:numPr>
        <w:tabs>
          <w:tab w:pos="1300" w:val="left" w:leader="none"/>
          <w:tab w:pos="1301" w:val="left" w:leader="none"/>
        </w:tabs>
        <w:spacing w:line="269" w:lineRule="exact" w:before="101" w:after="0"/>
        <w:ind w:left="1300" w:right="0" w:hanging="360"/>
        <w:jc w:val="left"/>
        <w:rPr>
          <w:b/>
          <w:sz w:val="22"/>
        </w:rPr>
      </w:pPr>
      <w:r>
        <w:rPr>
          <w:b/>
          <w:sz w:val="22"/>
        </w:rPr>
        <w:t>Gas</w:t>
      </w:r>
    </w:p>
    <w:p>
      <w:pPr>
        <w:pStyle w:val="ListParagraph"/>
        <w:numPr>
          <w:ilvl w:val="2"/>
          <w:numId w:val="23"/>
        </w:numPr>
        <w:tabs>
          <w:tab w:pos="2020" w:val="left" w:leader="none"/>
          <w:tab w:pos="2021" w:val="left" w:leader="none"/>
        </w:tabs>
        <w:spacing w:line="263" w:lineRule="exact" w:before="0" w:after="0"/>
        <w:ind w:left="2020" w:right="0" w:hanging="360"/>
        <w:jc w:val="left"/>
        <w:rPr>
          <w:sz w:val="22"/>
        </w:rPr>
      </w:pPr>
      <w:r>
        <w:rPr>
          <w:sz w:val="22"/>
        </w:rPr>
        <w:t>Installation of gas piping shall be in accordance with ANSI</w:t>
      </w:r>
      <w:r>
        <w:rPr>
          <w:spacing w:val="-4"/>
          <w:sz w:val="22"/>
        </w:rPr>
        <w:t> </w:t>
      </w:r>
      <w:r>
        <w:rPr>
          <w:sz w:val="22"/>
        </w:rPr>
        <w:t>B31.8</w:t>
      </w:r>
    </w:p>
    <w:p>
      <w:pPr>
        <w:pStyle w:val="ListParagraph"/>
        <w:numPr>
          <w:ilvl w:val="2"/>
          <w:numId w:val="23"/>
        </w:numPr>
        <w:tabs>
          <w:tab w:pos="2020" w:val="left" w:leader="none"/>
          <w:tab w:pos="2021" w:val="left" w:leader="none"/>
        </w:tabs>
        <w:spacing w:line="223" w:lineRule="auto" w:before="4" w:after="0"/>
        <w:ind w:left="2020" w:right="1200" w:hanging="360"/>
        <w:jc w:val="left"/>
        <w:rPr>
          <w:sz w:val="22"/>
        </w:rPr>
      </w:pPr>
      <w:r>
        <w:rPr>
          <w:sz w:val="22"/>
        </w:rPr>
        <w:t>When connecting to existing steel piping systems, provision shall be made to ensure that the integrity of the cathodic protection is not</w:t>
      </w:r>
      <w:r>
        <w:rPr>
          <w:spacing w:val="-11"/>
          <w:sz w:val="22"/>
        </w:rPr>
        <w:t> </w:t>
      </w:r>
      <w:r>
        <w:rPr>
          <w:sz w:val="22"/>
        </w:rPr>
        <w:t>compromised.</w:t>
      </w:r>
    </w:p>
    <w:p>
      <w:pPr>
        <w:pStyle w:val="ListParagraph"/>
        <w:numPr>
          <w:ilvl w:val="2"/>
          <w:numId w:val="23"/>
        </w:numPr>
        <w:tabs>
          <w:tab w:pos="2020" w:val="left" w:leader="none"/>
          <w:tab w:pos="2021" w:val="left" w:leader="none"/>
        </w:tabs>
        <w:spacing w:line="235" w:lineRule="auto" w:before="5" w:after="0"/>
        <w:ind w:left="2020" w:right="922" w:hanging="360"/>
        <w:jc w:val="left"/>
        <w:rPr>
          <w:sz w:val="22"/>
        </w:rPr>
      </w:pPr>
      <w:r>
        <w:rPr>
          <w:sz w:val="22"/>
        </w:rPr>
        <w:t>Pulse Initiators may be used on existing Utility-owned gas meters with prior written consent and assistance by the Local Utility Account Representative. The Contractor shall be responsible for coordinating access to local utility owned assets and notify</w:t>
      </w:r>
      <w:r>
        <w:rPr>
          <w:spacing w:val="-5"/>
          <w:sz w:val="22"/>
        </w:rPr>
        <w:t> </w:t>
      </w:r>
      <w:r>
        <w:rPr>
          <w:sz w:val="22"/>
        </w:rPr>
        <w:t>COR.</w:t>
      </w:r>
    </w:p>
    <w:p>
      <w:pPr>
        <w:pStyle w:val="BodyText"/>
        <w:spacing w:before="8"/>
        <w:rPr>
          <w:sz w:val="21"/>
        </w:rPr>
      </w:pPr>
    </w:p>
    <w:p>
      <w:pPr>
        <w:pStyle w:val="ListParagraph"/>
        <w:numPr>
          <w:ilvl w:val="1"/>
          <w:numId w:val="23"/>
        </w:numPr>
        <w:tabs>
          <w:tab w:pos="1300" w:val="left" w:leader="none"/>
          <w:tab w:pos="1301" w:val="left" w:leader="none"/>
        </w:tabs>
        <w:spacing w:line="269" w:lineRule="exact" w:before="0" w:after="0"/>
        <w:ind w:left="1300" w:right="0" w:hanging="360"/>
        <w:jc w:val="left"/>
        <w:rPr>
          <w:b/>
          <w:sz w:val="22"/>
        </w:rPr>
      </w:pPr>
      <w:r>
        <w:rPr>
          <w:b/>
          <w:sz w:val="22"/>
        </w:rPr>
        <w:t>Data Acquisition Servers</w:t>
      </w:r>
      <w:r>
        <w:rPr>
          <w:b/>
          <w:spacing w:val="2"/>
          <w:sz w:val="22"/>
        </w:rPr>
        <w:t> </w:t>
      </w:r>
      <w:r>
        <w:rPr>
          <w:b/>
          <w:sz w:val="22"/>
        </w:rPr>
        <w:t>(DAS)</w:t>
      </w:r>
    </w:p>
    <w:p>
      <w:pPr>
        <w:pStyle w:val="ListParagraph"/>
        <w:numPr>
          <w:ilvl w:val="2"/>
          <w:numId w:val="23"/>
        </w:numPr>
        <w:tabs>
          <w:tab w:pos="2020" w:val="left" w:leader="none"/>
          <w:tab w:pos="2021" w:val="left" w:leader="none"/>
        </w:tabs>
        <w:spacing w:line="223" w:lineRule="auto" w:before="13" w:after="0"/>
        <w:ind w:left="2020" w:right="878" w:hanging="360"/>
        <w:jc w:val="left"/>
        <w:rPr>
          <w:sz w:val="22"/>
        </w:rPr>
      </w:pPr>
      <w:r>
        <w:rPr>
          <w:sz w:val="22"/>
        </w:rPr>
        <w:t>The DAS shall have full administrative capabilities enabled to the unit’s</w:t>
      </w:r>
      <w:r>
        <w:rPr>
          <w:spacing w:val="-43"/>
          <w:sz w:val="22"/>
        </w:rPr>
        <w:t> </w:t>
      </w:r>
      <w:r>
        <w:rPr>
          <w:sz w:val="22"/>
        </w:rPr>
        <w:t>metering lead for initial configuration and for ongoing use of console level</w:t>
      </w:r>
      <w:r>
        <w:rPr>
          <w:spacing w:val="-16"/>
          <w:sz w:val="22"/>
        </w:rPr>
        <w:t> </w:t>
      </w:r>
      <w:r>
        <w:rPr>
          <w:sz w:val="22"/>
        </w:rPr>
        <w:t>metrics.</w:t>
      </w:r>
    </w:p>
    <w:p>
      <w:pPr>
        <w:pStyle w:val="ListParagraph"/>
        <w:numPr>
          <w:ilvl w:val="2"/>
          <w:numId w:val="23"/>
        </w:numPr>
        <w:tabs>
          <w:tab w:pos="2020" w:val="left" w:leader="none"/>
          <w:tab w:pos="2021" w:val="left" w:leader="none"/>
        </w:tabs>
        <w:spacing w:line="262" w:lineRule="exact" w:before="4" w:after="0"/>
        <w:ind w:left="2020" w:right="0" w:hanging="360"/>
        <w:jc w:val="left"/>
        <w:rPr>
          <w:sz w:val="22"/>
        </w:rPr>
      </w:pPr>
      <w:r>
        <w:rPr>
          <w:sz w:val="22"/>
        </w:rPr>
        <w:t>For configuration of the DAS: (refer to DAS Manual)</w:t>
      </w:r>
      <w:r>
        <w:rPr>
          <w:color w:val="0000FF"/>
          <w:spacing w:val="-4"/>
          <w:sz w:val="22"/>
        </w:rPr>
        <w:t> </w:t>
      </w:r>
      <w:hyperlink r:id="rId39">
        <w:r>
          <w:rPr>
            <w:color w:val="0000FF"/>
            <w:sz w:val="22"/>
            <w:u w:val="single" w:color="0000FF"/>
          </w:rPr>
          <w:t>http://www.obvius.com</w:t>
        </w:r>
      </w:hyperlink>
    </w:p>
    <w:p>
      <w:pPr>
        <w:pStyle w:val="ListParagraph"/>
        <w:numPr>
          <w:ilvl w:val="2"/>
          <w:numId w:val="23"/>
        </w:numPr>
        <w:tabs>
          <w:tab w:pos="2020" w:val="left" w:leader="none"/>
          <w:tab w:pos="2021" w:val="left" w:leader="none"/>
        </w:tabs>
        <w:spacing w:line="223" w:lineRule="auto" w:before="2" w:after="0"/>
        <w:ind w:left="2020" w:right="2000" w:hanging="360"/>
        <w:jc w:val="left"/>
        <w:rPr>
          <w:sz w:val="22"/>
        </w:rPr>
      </w:pPr>
      <w:r>
        <w:rPr>
          <w:sz w:val="22"/>
        </w:rPr>
        <w:t>The check box to allow remote configuration shall be checked on the “LogFileData, Setup/Upload” page (See DAS</w:t>
      </w:r>
      <w:r>
        <w:rPr>
          <w:spacing w:val="-6"/>
          <w:sz w:val="22"/>
        </w:rPr>
        <w:t> </w:t>
      </w:r>
      <w:r>
        <w:rPr>
          <w:sz w:val="22"/>
        </w:rPr>
        <w:t>Manual.)</w:t>
      </w:r>
    </w:p>
    <w:p>
      <w:pPr>
        <w:pStyle w:val="ListParagraph"/>
        <w:numPr>
          <w:ilvl w:val="2"/>
          <w:numId w:val="23"/>
        </w:numPr>
        <w:tabs>
          <w:tab w:pos="2020" w:val="left" w:leader="none"/>
          <w:tab w:pos="2021" w:val="left" w:leader="none"/>
        </w:tabs>
        <w:spacing w:line="230" w:lineRule="auto" w:before="11" w:after="0"/>
        <w:ind w:left="2020" w:right="842" w:hanging="360"/>
        <w:jc w:val="left"/>
        <w:rPr>
          <w:sz w:val="22"/>
        </w:rPr>
      </w:pPr>
      <w:r>
        <w:rPr>
          <w:sz w:val="22"/>
        </w:rPr>
        <w:t>A cellular modem shall be installed as part of the DAS installation or add to existing DAS. Contractor or unit shall notify USCG SILC Energy Branch 30</w:t>
      </w:r>
      <w:r>
        <w:rPr>
          <w:spacing w:val="-29"/>
          <w:sz w:val="22"/>
        </w:rPr>
        <w:t> </w:t>
      </w:r>
      <w:r>
        <w:rPr>
          <w:sz w:val="22"/>
        </w:rPr>
        <w:t>days in advance to request cellular ISP information for</w:t>
      </w:r>
      <w:r>
        <w:rPr>
          <w:spacing w:val="-12"/>
          <w:sz w:val="22"/>
        </w:rPr>
        <w:t> </w:t>
      </w:r>
      <w:r>
        <w:rPr>
          <w:sz w:val="22"/>
        </w:rPr>
        <w:t>connectivity.</w:t>
      </w:r>
    </w:p>
    <w:p>
      <w:pPr>
        <w:pStyle w:val="ListParagraph"/>
        <w:numPr>
          <w:ilvl w:val="2"/>
          <w:numId w:val="23"/>
        </w:numPr>
        <w:tabs>
          <w:tab w:pos="2020" w:val="left" w:leader="none"/>
          <w:tab w:pos="2021" w:val="left" w:leader="none"/>
        </w:tabs>
        <w:spacing w:line="223" w:lineRule="auto" w:before="16" w:after="0"/>
        <w:ind w:left="2020" w:right="1449" w:hanging="360"/>
        <w:jc w:val="left"/>
        <w:rPr>
          <w:sz w:val="22"/>
        </w:rPr>
      </w:pPr>
      <w:r>
        <w:rPr>
          <w:sz w:val="22"/>
        </w:rPr>
        <w:t>The DAS shall be connected to cellular modem compatible with the USCG Cellular and Internet Service Provider (ISP)</w:t>
      </w:r>
      <w:r>
        <w:rPr>
          <w:spacing w:val="-3"/>
          <w:sz w:val="22"/>
        </w:rPr>
        <w:t> </w:t>
      </w:r>
      <w:r>
        <w:rPr>
          <w:sz w:val="22"/>
        </w:rPr>
        <w:t>service.</w:t>
      </w:r>
    </w:p>
    <w:p>
      <w:pPr>
        <w:pStyle w:val="ListParagraph"/>
        <w:numPr>
          <w:ilvl w:val="2"/>
          <w:numId w:val="23"/>
        </w:numPr>
        <w:tabs>
          <w:tab w:pos="2020" w:val="left" w:leader="none"/>
          <w:tab w:pos="2021" w:val="left" w:leader="none"/>
        </w:tabs>
        <w:spacing w:line="230" w:lineRule="auto" w:before="12" w:after="0"/>
        <w:ind w:left="2020" w:right="1010" w:hanging="360"/>
        <w:jc w:val="left"/>
        <w:rPr>
          <w:sz w:val="22"/>
        </w:rPr>
      </w:pPr>
      <w:r>
        <w:rPr>
          <w:sz w:val="22"/>
        </w:rPr>
        <w:t>If Cellular Service in not available, The DAS shall be configured to dial out land line or POTS (Plain Old Telephone Service) using the ISP phone number and access.</w:t>
      </w:r>
    </w:p>
    <w:p>
      <w:pPr>
        <w:pStyle w:val="ListParagraph"/>
        <w:numPr>
          <w:ilvl w:val="2"/>
          <w:numId w:val="23"/>
        </w:numPr>
        <w:tabs>
          <w:tab w:pos="2020" w:val="left" w:leader="none"/>
          <w:tab w:pos="2021" w:val="left" w:leader="none"/>
        </w:tabs>
        <w:spacing w:line="223" w:lineRule="auto" w:before="16" w:after="0"/>
        <w:ind w:left="2020" w:right="813" w:hanging="360"/>
        <w:jc w:val="left"/>
        <w:rPr>
          <w:sz w:val="22"/>
        </w:rPr>
      </w:pPr>
      <w:r>
        <w:rPr>
          <w:sz w:val="22"/>
        </w:rPr>
        <w:t>The Coast Guard unit shall notify SILC Energy Branch it is ready for the interface to the selected</w:t>
      </w:r>
      <w:r>
        <w:rPr>
          <w:spacing w:val="-3"/>
          <w:sz w:val="22"/>
        </w:rPr>
        <w:t> </w:t>
      </w:r>
      <w:r>
        <w:rPr>
          <w:sz w:val="22"/>
        </w:rPr>
        <w:t>EDMS.</w:t>
      </w:r>
    </w:p>
    <w:p>
      <w:pPr>
        <w:pStyle w:val="ListParagraph"/>
        <w:numPr>
          <w:ilvl w:val="2"/>
          <w:numId w:val="23"/>
        </w:numPr>
        <w:tabs>
          <w:tab w:pos="2020" w:val="left" w:leader="none"/>
          <w:tab w:pos="2021" w:val="left" w:leader="none"/>
        </w:tabs>
        <w:spacing w:line="240" w:lineRule="auto" w:before="3" w:after="0"/>
        <w:ind w:left="2020" w:right="0" w:hanging="360"/>
        <w:jc w:val="left"/>
        <w:rPr>
          <w:sz w:val="22"/>
        </w:rPr>
      </w:pPr>
      <w:r>
        <w:rPr>
          <w:sz w:val="22"/>
        </w:rPr>
        <w:t>The metering contractor shall verify the new DAS is active on the EDMS</w:t>
      </w:r>
      <w:r>
        <w:rPr>
          <w:spacing w:val="-15"/>
          <w:sz w:val="22"/>
        </w:rPr>
        <w:t> </w:t>
      </w:r>
      <w:r>
        <w:rPr>
          <w:sz w:val="22"/>
        </w:rPr>
        <w:t>website.</w:t>
      </w:r>
    </w:p>
    <w:p>
      <w:pPr>
        <w:pStyle w:val="ListParagraph"/>
        <w:numPr>
          <w:ilvl w:val="1"/>
          <w:numId w:val="23"/>
        </w:numPr>
        <w:tabs>
          <w:tab w:pos="1300" w:val="left" w:leader="none"/>
          <w:tab w:pos="1301" w:val="left" w:leader="none"/>
        </w:tabs>
        <w:spacing w:line="269" w:lineRule="exact" w:before="231" w:after="0"/>
        <w:ind w:left="1300" w:right="0" w:hanging="360"/>
        <w:jc w:val="left"/>
        <w:rPr>
          <w:b/>
          <w:sz w:val="22"/>
        </w:rPr>
      </w:pPr>
      <w:r>
        <w:rPr>
          <w:b/>
          <w:sz w:val="22"/>
        </w:rPr>
        <w:t>Transceivers</w:t>
      </w:r>
    </w:p>
    <w:p>
      <w:pPr>
        <w:pStyle w:val="ListParagraph"/>
        <w:numPr>
          <w:ilvl w:val="2"/>
          <w:numId w:val="23"/>
        </w:numPr>
        <w:tabs>
          <w:tab w:pos="2020" w:val="left" w:leader="none"/>
          <w:tab w:pos="2021" w:val="left" w:leader="none"/>
        </w:tabs>
        <w:spacing w:line="223" w:lineRule="auto" w:before="13" w:after="0"/>
        <w:ind w:left="2020" w:right="764" w:hanging="360"/>
        <w:jc w:val="left"/>
        <w:rPr>
          <w:sz w:val="22"/>
        </w:rPr>
      </w:pPr>
      <w:r>
        <w:rPr>
          <w:sz w:val="22"/>
        </w:rPr>
        <w:t>Installation technicians shall ensure unique address for each transceiver, settable via dipswitches on each device, in order to mitigate conflicts and</w:t>
      </w:r>
      <w:r>
        <w:rPr>
          <w:spacing w:val="-11"/>
          <w:sz w:val="22"/>
        </w:rPr>
        <w:t> </w:t>
      </w:r>
      <w:r>
        <w:rPr>
          <w:sz w:val="22"/>
        </w:rPr>
        <w:t>ease</w:t>
      </w:r>
    </w:p>
    <w:p>
      <w:pPr>
        <w:spacing w:after="0" w:line="223" w:lineRule="auto"/>
        <w:jc w:val="left"/>
        <w:rPr>
          <w:sz w:val="22"/>
        </w:rPr>
        <w:sectPr>
          <w:pgSz w:w="12240" w:h="15840"/>
          <w:pgMar w:header="724" w:footer="1020" w:top="1220" w:bottom="1220" w:left="860" w:right="680"/>
        </w:sectPr>
      </w:pPr>
    </w:p>
    <w:p>
      <w:pPr>
        <w:pStyle w:val="BodyText"/>
        <w:spacing w:before="6"/>
        <w:rPr>
          <w:sz w:val="10"/>
        </w:rPr>
      </w:pPr>
    </w:p>
    <w:p>
      <w:pPr>
        <w:pStyle w:val="BodyText"/>
        <w:spacing w:before="94"/>
        <w:ind w:left="2020" w:right="1885"/>
      </w:pPr>
      <w:r>
        <w:rPr/>
        <w:t>troubleshooting efforts. Refer to </w:t>
      </w:r>
      <w:hyperlink w:history="true" w:anchor="_bookmark49">
        <w:r>
          <w:rPr/>
          <w:t>Appendix F </w:t>
        </w:r>
      </w:hyperlink>
      <w:r>
        <w:rPr/>
        <w:t>- AMI Equipment Naming Convention Document.</w:t>
      </w:r>
    </w:p>
    <w:p>
      <w:pPr>
        <w:pStyle w:val="ListParagraph"/>
        <w:numPr>
          <w:ilvl w:val="2"/>
          <w:numId w:val="23"/>
        </w:numPr>
        <w:tabs>
          <w:tab w:pos="2020" w:val="left" w:leader="none"/>
          <w:tab w:pos="2021" w:val="left" w:leader="none"/>
        </w:tabs>
        <w:spacing w:line="262" w:lineRule="exact" w:before="0" w:after="0"/>
        <w:ind w:left="2020" w:right="0" w:hanging="360"/>
        <w:jc w:val="left"/>
        <w:rPr>
          <w:sz w:val="22"/>
        </w:rPr>
      </w:pPr>
      <w:r>
        <w:rPr>
          <w:sz w:val="22"/>
        </w:rPr>
        <w:t>Installation shall comply with NFPA 70 and</w:t>
      </w:r>
      <w:r>
        <w:rPr>
          <w:spacing w:val="-5"/>
          <w:sz w:val="22"/>
        </w:rPr>
        <w:t> </w:t>
      </w:r>
      <w:r>
        <w:rPr>
          <w:sz w:val="22"/>
        </w:rPr>
        <w:t>NEC.</w:t>
      </w:r>
    </w:p>
    <w:p>
      <w:pPr>
        <w:pStyle w:val="ListParagraph"/>
        <w:numPr>
          <w:ilvl w:val="2"/>
          <w:numId w:val="23"/>
        </w:numPr>
        <w:tabs>
          <w:tab w:pos="2020" w:val="left" w:leader="none"/>
          <w:tab w:pos="2021" w:val="left" w:leader="none"/>
        </w:tabs>
        <w:spacing w:line="223" w:lineRule="auto" w:before="3" w:after="0"/>
        <w:ind w:left="2020" w:right="1344" w:hanging="360"/>
        <w:jc w:val="left"/>
        <w:rPr>
          <w:sz w:val="22"/>
        </w:rPr>
      </w:pPr>
      <w:r>
        <w:rPr>
          <w:sz w:val="22"/>
        </w:rPr>
        <w:t>Equipment, installation, and wiring shall comply with industry</w:t>
      </w:r>
      <w:r>
        <w:rPr>
          <w:spacing w:val="-25"/>
          <w:sz w:val="22"/>
        </w:rPr>
        <w:t> </w:t>
      </w:r>
      <w:r>
        <w:rPr>
          <w:sz w:val="22"/>
        </w:rPr>
        <w:t>specifications, standards and local codes for performance, reliability, and</w:t>
      </w:r>
      <w:r>
        <w:rPr>
          <w:spacing w:val="-14"/>
          <w:sz w:val="22"/>
        </w:rPr>
        <w:t> </w:t>
      </w:r>
      <w:r>
        <w:rPr>
          <w:sz w:val="22"/>
        </w:rPr>
        <w:t>compatibility.</w:t>
      </w:r>
    </w:p>
    <w:p>
      <w:pPr>
        <w:pStyle w:val="ListParagraph"/>
        <w:numPr>
          <w:ilvl w:val="2"/>
          <w:numId w:val="23"/>
        </w:numPr>
        <w:tabs>
          <w:tab w:pos="2020" w:val="left" w:leader="none"/>
          <w:tab w:pos="2021" w:val="left" w:leader="none"/>
        </w:tabs>
        <w:spacing w:line="223" w:lineRule="auto" w:before="17" w:after="0"/>
        <w:ind w:left="2020" w:right="1666" w:hanging="360"/>
        <w:jc w:val="left"/>
        <w:rPr>
          <w:sz w:val="22"/>
        </w:rPr>
      </w:pPr>
      <w:r>
        <w:rPr>
          <w:sz w:val="22"/>
        </w:rPr>
        <w:t>Hardwired installations shall use shielded twisted-pair 2 conductor cable compatible with Belden</w:t>
      </w:r>
      <w:r>
        <w:rPr>
          <w:spacing w:val="-1"/>
          <w:sz w:val="22"/>
        </w:rPr>
        <w:t> </w:t>
      </w:r>
      <w:r>
        <w:rPr>
          <w:sz w:val="22"/>
        </w:rPr>
        <w:t>1120A.</w:t>
      </w:r>
    </w:p>
    <w:p>
      <w:pPr>
        <w:pStyle w:val="ListParagraph"/>
        <w:numPr>
          <w:ilvl w:val="2"/>
          <w:numId w:val="23"/>
        </w:numPr>
        <w:tabs>
          <w:tab w:pos="2020" w:val="left" w:leader="none"/>
          <w:tab w:pos="2021" w:val="left" w:leader="none"/>
        </w:tabs>
        <w:spacing w:line="232" w:lineRule="auto" w:before="9" w:after="0"/>
        <w:ind w:left="2020" w:right="1008" w:hanging="360"/>
        <w:jc w:val="left"/>
        <w:rPr>
          <w:sz w:val="22"/>
        </w:rPr>
      </w:pPr>
      <w:r>
        <w:rPr>
          <w:sz w:val="22"/>
        </w:rPr>
        <w:t>Installation technicians shall locate transceivers in suitable areas-side or rear facades of buildings if possible, free from large metal plates or sources of radio signals, electrical panels, obstructed locations, thick concrete walls, or areas of high electrical</w:t>
      </w:r>
      <w:r>
        <w:rPr>
          <w:spacing w:val="-2"/>
          <w:sz w:val="22"/>
        </w:rPr>
        <w:t> </w:t>
      </w:r>
      <w:r>
        <w:rPr>
          <w:sz w:val="22"/>
        </w:rPr>
        <w:t>noise.</w:t>
      </w:r>
    </w:p>
    <w:p>
      <w:pPr>
        <w:pStyle w:val="ListParagraph"/>
        <w:numPr>
          <w:ilvl w:val="2"/>
          <w:numId w:val="23"/>
        </w:numPr>
        <w:tabs>
          <w:tab w:pos="2020" w:val="left" w:leader="none"/>
          <w:tab w:pos="2021" w:val="left" w:leader="none"/>
        </w:tabs>
        <w:spacing w:line="223" w:lineRule="auto" w:before="17" w:after="0"/>
        <w:ind w:left="2020" w:right="950" w:hanging="360"/>
        <w:jc w:val="left"/>
        <w:rPr>
          <w:sz w:val="22"/>
        </w:rPr>
      </w:pPr>
      <w:r>
        <w:rPr>
          <w:sz w:val="22"/>
        </w:rPr>
        <w:t>Installation technicians shall verify with local facilities personnel the presence</w:t>
      </w:r>
      <w:r>
        <w:rPr>
          <w:spacing w:val="-23"/>
          <w:sz w:val="22"/>
        </w:rPr>
        <w:t> </w:t>
      </w:r>
      <w:r>
        <w:rPr>
          <w:sz w:val="22"/>
        </w:rPr>
        <w:t>of cellular repeaters or Wi-Fi</w:t>
      </w:r>
      <w:r>
        <w:rPr>
          <w:spacing w:val="-6"/>
          <w:sz w:val="22"/>
        </w:rPr>
        <w:t> </w:t>
      </w:r>
      <w:r>
        <w:rPr>
          <w:sz w:val="22"/>
        </w:rPr>
        <w:t>networks.</w:t>
      </w:r>
    </w:p>
    <w:p>
      <w:pPr>
        <w:pStyle w:val="ListParagraph"/>
        <w:numPr>
          <w:ilvl w:val="2"/>
          <w:numId w:val="23"/>
        </w:numPr>
        <w:tabs>
          <w:tab w:pos="2020" w:val="left" w:leader="none"/>
          <w:tab w:pos="2021" w:val="left" w:leader="none"/>
        </w:tabs>
        <w:spacing w:line="235" w:lineRule="auto" w:before="7" w:after="0"/>
        <w:ind w:left="2020" w:right="957" w:hanging="360"/>
        <w:jc w:val="left"/>
        <w:rPr>
          <w:sz w:val="22"/>
        </w:rPr>
      </w:pPr>
      <w:r>
        <w:rPr>
          <w:sz w:val="22"/>
        </w:rPr>
        <w:t>Install transceivers as per manufacturer's recommendations and best</w:t>
      </w:r>
      <w:r>
        <w:rPr>
          <w:spacing w:val="-22"/>
          <w:sz w:val="22"/>
        </w:rPr>
        <w:t> </w:t>
      </w:r>
      <w:r>
        <w:rPr>
          <w:sz w:val="22"/>
        </w:rPr>
        <w:t>practices, in order to maximize strength of wireless communication. If the wireless connection between transceivers is weak or intermittent, additional relay transceiver(s) or external antennas shall be installed to facilitate reliable communication.</w:t>
      </w:r>
    </w:p>
    <w:p>
      <w:pPr>
        <w:pStyle w:val="ListParagraph"/>
        <w:numPr>
          <w:ilvl w:val="2"/>
          <w:numId w:val="23"/>
        </w:numPr>
        <w:tabs>
          <w:tab w:pos="2020" w:val="left" w:leader="none"/>
          <w:tab w:pos="2021" w:val="left" w:leader="none"/>
        </w:tabs>
        <w:spacing w:line="235" w:lineRule="auto" w:before="6" w:after="0"/>
        <w:ind w:left="2020" w:right="887" w:hanging="360"/>
        <w:jc w:val="left"/>
        <w:rPr>
          <w:sz w:val="22"/>
        </w:rPr>
      </w:pPr>
      <w:r>
        <w:rPr>
          <w:sz w:val="22"/>
        </w:rPr>
        <w:t>Transceivers shall be mounted a minimum of 10 feet away from other radio devices, including other transceivers, cordless phones, and Wi-Fi access points. This minimum is based on typical transmitting power—greater distance may be desired from sources of greater power such as cell phone towers and communication</w:t>
      </w:r>
      <w:r>
        <w:rPr>
          <w:spacing w:val="-3"/>
          <w:sz w:val="22"/>
        </w:rPr>
        <w:t> </w:t>
      </w:r>
      <w:r>
        <w:rPr>
          <w:sz w:val="22"/>
        </w:rPr>
        <w:t>transmitters.</w:t>
      </w:r>
    </w:p>
    <w:p>
      <w:pPr>
        <w:pStyle w:val="ListParagraph"/>
        <w:numPr>
          <w:ilvl w:val="2"/>
          <w:numId w:val="23"/>
        </w:numPr>
        <w:tabs>
          <w:tab w:pos="2020" w:val="left" w:leader="none"/>
          <w:tab w:pos="2021" w:val="left" w:leader="none"/>
        </w:tabs>
        <w:spacing w:line="223" w:lineRule="auto" w:before="15" w:after="0"/>
        <w:ind w:left="2020" w:right="791" w:hanging="360"/>
        <w:jc w:val="left"/>
        <w:rPr>
          <w:sz w:val="22"/>
        </w:rPr>
      </w:pPr>
      <w:r>
        <w:rPr>
          <w:sz w:val="22"/>
        </w:rPr>
        <w:t>Transceivers are powered by a 120v wall mounted transformer, and thus shall</w:t>
      </w:r>
      <w:r>
        <w:rPr>
          <w:spacing w:val="-22"/>
          <w:sz w:val="22"/>
        </w:rPr>
        <w:t> </w:t>
      </w:r>
      <w:r>
        <w:rPr>
          <w:sz w:val="22"/>
        </w:rPr>
        <w:t>be mounted close to an available receptacle securely to a</w:t>
      </w:r>
      <w:r>
        <w:rPr>
          <w:spacing w:val="-14"/>
          <w:sz w:val="22"/>
        </w:rPr>
        <w:t> </w:t>
      </w:r>
      <w:r>
        <w:rPr>
          <w:sz w:val="22"/>
        </w:rPr>
        <w:t>wall.</w:t>
      </w:r>
    </w:p>
    <w:p>
      <w:pPr>
        <w:pStyle w:val="ListParagraph"/>
        <w:numPr>
          <w:ilvl w:val="2"/>
          <w:numId w:val="23"/>
        </w:numPr>
        <w:tabs>
          <w:tab w:pos="2020" w:val="left" w:leader="none"/>
          <w:tab w:pos="2021" w:val="left" w:leader="none"/>
        </w:tabs>
        <w:spacing w:line="223" w:lineRule="auto" w:before="16" w:after="0"/>
        <w:ind w:left="2020" w:right="1183" w:hanging="360"/>
        <w:jc w:val="left"/>
        <w:rPr>
          <w:sz w:val="22"/>
        </w:rPr>
      </w:pPr>
      <w:r>
        <w:rPr>
          <w:sz w:val="22"/>
        </w:rPr>
        <w:t>Transceivers shall not be mounted on metal objects. The antenna of the transceiver must be free and clear of metal beams, conduit, pipes, ducts,</w:t>
      </w:r>
      <w:r>
        <w:rPr>
          <w:spacing w:val="-22"/>
          <w:sz w:val="22"/>
        </w:rPr>
        <w:t> </w:t>
      </w:r>
      <w:r>
        <w:rPr>
          <w:sz w:val="22"/>
        </w:rPr>
        <w:t>etc.</w:t>
      </w:r>
    </w:p>
    <w:p>
      <w:pPr>
        <w:pStyle w:val="ListParagraph"/>
        <w:numPr>
          <w:ilvl w:val="2"/>
          <w:numId w:val="23"/>
        </w:numPr>
        <w:tabs>
          <w:tab w:pos="2020" w:val="left" w:leader="none"/>
          <w:tab w:pos="2021" w:val="left" w:leader="none"/>
        </w:tabs>
        <w:spacing w:line="223" w:lineRule="auto" w:before="17" w:after="0"/>
        <w:ind w:left="2020" w:right="814" w:hanging="360"/>
        <w:jc w:val="left"/>
        <w:rPr>
          <w:sz w:val="22"/>
        </w:rPr>
      </w:pPr>
      <w:r>
        <w:rPr>
          <w:sz w:val="22"/>
        </w:rPr>
        <w:t>All transceivers, cables, power cables, and any other wires shall be neatly routed and secured resulting in a neat, orderly</w:t>
      </w:r>
      <w:r>
        <w:rPr>
          <w:spacing w:val="-6"/>
          <w:sz w:val="22"/>
        </w:rPr>
        <w:t> </w:t>
      </w:r>
      <w:r>
        <w:rPr>
          <w:sz w:val="22"/>
        </w:rPr>
        <w:t>appearance.</w:t>
      </w:r>
    </w:p>
    <w:p>
      <w:pPr>
        <w:pStyle w:val="ListParagraph"/>
        <w:numPr>
          <w:ilvl w:val="2"/>
          <w:numId w:val="23"/>
        </w:numPr>
        <w:tabs>
          <w:tab w:pos="2020" w:val="left" w:leader="none"/>
          <w:tab w:pos="2021" w:val="left" w:leader="none"/>
        </w:tabs>
        <w:spacing w:line="235" w:lineRule="auto" w:before="7" w:after="0"/>
        <w:ind w:left="2020" w:right="783" w:hanging="360"/>
        <w:jc w:val="left"/>
        <w:rPr>
          <w:sz w:val="22"/>
        </w:rPr>
      </w:pPr>
      <w:r>
        <w:rPr>
          <w:sz w:val="22"/>
        </w:rPr>
        <w:t>Upon establishment of transceivers into a new or existing communications network, each meter bank shall be brought on line sequentially on the</w:t>
      </w:r>
      <w:r>
        <w:rPr>
          <w:spacing w:val="-27"/>
          <w:sz w:val="22"/>
        </w:rPr>
        <w:t> </w:t>
      </w:r>
      <w:r>
        <w:rPr>
          <w:sz w:val="22"/>
        </w:rPr>
        <w:t>transceiver to provide for indications of wiring problems, malfunctioning meters, improper installation, or duplicated addresses. Five minutes minimum shall be provided for the circuit to stabilize prior to</w:t>
      </w:r>
      <w:r>
        <w:rPr>
          <w:spacing w:val="-6"/>
          <w:sz w:val="22"/>
        </w:rPr>
        <w:t> </w:t>
      </w:r>
      <w:r>
        <w:rPr>
          <w:sz w:val="22"/>
        </w:rPr>
        <w:t>troubleshooting.</w:t>
      </w:r>
    </w:p>
    <w:p>
      <w:pPr>
        <w:pStyle w:val="ListParagraph"/>
        <w:numPr>
          <w:ilvl w:val="2"/>
          <w:numId w:val="23"/>
        </w:numPr>
        <w:tabs>
          <w:tab w:pos="2020" w:val="left" w:leader="none"/>
          <w:tab w:pos="2021" w:val="left" w:leader="none"/>
        </w:tabs>
        <w:spacing w:line="232" w:lineRule="auto" w:before="8" w:after="0"/>
        <w:ind w:left="2020" w:right="1240" w:hanging="360"/>
        <w:jc w:val="left"/>
        <w:rPr>
          <w:sz w:val="22"/>
        </w:rPr>
      </w:pPr>
      <w:r>
        <w:rPr>
          <w:sz w:val="22"/>
        </w:rPr>
        <w:t>Upon establishment of transceivers into a new or existing communications network, there shall be an audit of network addresses to ensure there are no duplicate addresses, between transceivers, or between transceivers and advanced</w:t>
      </w:r>
      <w:r>
        <w:rPr>
          <w:spacing w:val="-1"/>
          <w:sz w:val="22"/>
        </w:rPr>
        <w:t> </w:t>
      </w:r>
      <w:r>
        <w:rPr>
          <w:sz w:val="22"/>
        </w:rPr>
        <w:t>meters.</w:t>
      </w:r>
    </w:p>
    <w:p>
      <w:pPr>
        <w:pStyle w:val="BodyText"/>
        <w:spacing w:before="7"/>
        <w:rPr>
          <w:sz w:val="30"/>
        </w:rPr>
      </w:pPr>
    </w:p>
    <w:p>
      <w:pPr>
        <w:spacing w:before="0"/>
        <w:ind w:left="580" w:right="0" w:firstLine="0"/>
        <w:jc w:val="left"/>
        <w:rPr>
          <w:b/>
          <w:sz w:val="22"/>
        </w:rPr>
      </w:pPr>
      <w:r>
        <w:rPr>
          <w:b/>
          <w:sz w:val="22"/>
          <w:u w:val="thick"/>
        </w:rPr>
        <w:t>Submittals</w:t>
      </w:r>
    </w:p>
    <w:p>
      <w:pPr>
        <w:pStyle w:val="BodyText"/>
        <w:spacing w:before="2"/>
        <w:rPr>
          <w:b/>
          <w:sz w:val="20"/>
        </w:rPr>
      </w:pPr>
    </w:p>
    <w:p>
      <w:pPr>
        <w:pStyle w:val="ListParagraph"/>
        <w:numPr>
          <w:ilvl w:val="1"/>
          <w:numId w:val="23"/>
        </w:numPr>
        <w:tabs>
          <w:tab w:pos="1300" w:val="left" w:leader="none"/>
          <w:tab w:pos="1301" w:val="left" w:leader="none"/>
        </w:tabs>
        <w:spacing w:line="228" w:lineRule="auto" w:before="112" w:after="0"/>
        <w:ind w:left="1300" w:right="810" w:hanging="360"/>
        <w:jc w:val="left"/>
        <w:rPr>
          <w:sz w:val="22"/>
        </w:rPr>
      </w:pPr>
      <w:r>
        <w:rPr>
          <w:sz w:val="22"/>
        </w:rPr>
        <w:t>The contractor shall provide a screenshot of the AcquiSuite route mapping display/Modhopper route map to depict the signal strength between transceivers at the meter and DAS. Procedures are outlined in the manufacturer’s installation and operation manual. The graphic shall depict green lines for communications between transceivers at the meter and DAS indicating good signal strength. Transceiver numbers shall be included in the screenshots. The intent of the screenshot is to verify that the equipment is properly communicating information at acceptable quality signal strength from each meter to the</w:t>
      </w:r>
      <w:r>
        <w:rPr>
          <w:spacing w:val="-4"/>
          <w:sz w:val="22"/>
        </w:rPr>
        <w:t> </w:t>
      </w:r>
      <w:r>
        <w:rPr>
          <w:sz w:val="22"/>
        </w:rPr>
        <w:t>DAS.</w:t>
      </w:r>
    </w:p>
    <w:p>
      <w:pPr>
        <w:spacing w:after="0" w:line="228" w:lineRule="auto"/>
        <w:jc w:val="left"/>
        <w:rPr>
          <w:sz w:val="22"/>
        </w:rPr>
        <w:sectPr>
          <w:pgSz w:w="12240" w:h="15840"/>
          <w:pgMar w:header="724" w:footer="1020" w:top="1220" w:bottom="1220" w:left="860" w:right="680"/>
        </w:sectPr>
      </w:pPr>
    </w:p>
    <w:p>
      <w:pPr>
        <w:pStyle w:val="ListParagraph"/>
        <w:numPr>
          <w:ilvl w:val="1"/>
          <w:numId w:val="23"/>
        </w:numPr>
        <w:tabs>
          <w:tab w:pos="1300" w:val="left" w:leader="none"/>
          <w:tab w:pos="1301" w:val="left" w:leader="none"/>
        </w:tabs>
        <w:spacing w:line="228" w:lineRule="auto" w:before="199" w:after="0"/>
        <w:ind w:left="1300" w:right="765" w:hanging="360"/>
        <w:jc w:val="left"/>
        <w:rPr>
          <w:sz w:val="22"/>
        </w:rPr>
      </w:pPr>
      <w:r>
        <w:rPr>
          <w:sz w:val="22"/>
        </w:rPr>
        <w:t>The contractor shall provide the following information to the Coast Guard for each metering device installed: CG installation name, the common name of the building,</w:t>
      </w:r>
      <w:r>
        <w:rPr>
          <w:spacing w:val="-25"/>
          <w:sz w:val="22"/>
        </w:rPr>
        <w:t> </w:t>
      </w:r>
      <w:r>
        <w:rPr>
          <w:sz w:val="22"/>
        </w:rPr>
        <w:t>shore tie or equipment being metered, location of installation (to include the electrical panel number and building or Asset name and RPUID), size of meter, device number, device address, serial number, location of associated transceiver, device number of associated transceiver, name and location of associated DAS. The contractor shall provide a digital photograph of each set of metering devices after it has been installed in its final location. Multiple devices may be captured in a single photograph if installed within the same location.</w:t>
      </w:r>
    </w:p>
    <w:p>
      <w:pPr>
        <w:pStyle w:val="ListParagraph"/>
        <w:numPr>
          <w:ilvl w:val="1"/>
          <w:numId w:val="23"/>
        </w:numPr>
        <w:tabs>
          <w:tab w:pos="1300" w:val="left" w:leader="none"/>
          <w:tab w:pos="1301" w:val="left" w:leader="none"/>
        </w:tabs>
        <w:spacing w:line="240" w:lineRule="exact" w:before="0" w:after="0"/>
        <w:ind w:left="1300" w:right="897" w:hanging="360"/>
        <w:jc w:val="left"/>
        <w:rPr>
          <w:sz w:val="22"/>
        </w:rPr>
      </w:pPr>
      <w:r>
        <w:rPr>
          <w:sz w:val="22"/>
        </w:rPr>
        <w:t>The contractor shall provide the following information to the Coast Guard for each DAS, I/O flex module and transceiver device installed: CG installation name, location of installation (to include the building name or number), device number, device address, serial number(or Pulse #), location of power supply, transceiver signal strength (bars), location of external antennas (if</w:t>
      </w:r>
      <w:r>
        <w:rPr>
          <w:spacing w:val="2"/>
          <w:sz w:val="22"/>
        </w:rPr>
        <w:t> </w:t>
      </w:r>
      <w:r>
        <w:rPr>
          <w:sz w:val="22"/>
        </w:rPr>
        <w:t>applicable).</w:t>
      </w:r>
    </w:p>
    <w:p>
      <w:pPr>
        <w:pStyle w:val="ListParagraph"/>
        <w:numPr>
          <w:ilvl w:val="1"/>
          <w:numId w:val="23"/>
        </w:numPr>
        <w:tabs>
          <w:tab w:pos="1300" w:val="left" w:leader="none"/>
          <w:tab w:pos="1301" w:val="left" w:leader="none"/>
        </w:tabs>
        <w:spacing w:line="233" w:lineRule="exact" w:before="0" w:after="0"/>
        <w:ind w:left="1300" w:right="0" w:hanging="360"/>
        <w:jc w:val="left"/>
        <w:rPr>
          <w:sz w:val="22"/>
        </w:rPr>
      </w:pPr>
      <w:r>
        <w:rPr>
          <w:sz w:val="22"/>
        </w:rPr>
        <w:t>The contractor shall include the location of metering equipment on electrical and</w:t>
      </w:r>
      <w:r>
        <w:rPr>
          <w:spacing w:val="-18"/>
          <w:sz w:val="22"/>
        </w:rPr>
        <w:t> </w:t>
      </w:r>
      <w:r>
        <w:rPr>
          <w:sz w:val="22"/>
        </w:rPr>
        <w:t>building</w:t>
      </w:r>
    </w:p>
    <w:p>
      <w:pPr>
        <w:pStyle w:val="BodyText"/>
        <w:spacing w:line="228" w:lineRule="auto" w:before="3"/>
        <w:ind w:left="1300" w:right="967"/>
      </w:pPr>
      <w:r>
        <w:rPr/>
        <w:t>utility drawings (as applicable for electrical, water and gas meters) submitted as part of the original scope of work.</w:t>
      </w:r>
    </w:p>
    <w:p>
      <w:pPr>
        <w:pStyle w:val="ListParagraph"/>
        <w:numPr>
          <w:ilvl w:val="1"/>
          <w:numId w:val="23"/>
        </w:numPr>
        <w:tabs>
          <w:tab w:pos="1300" w:val="left" w:leader="none"/>
          <w:tab w:pos="1301" w:val="left" w:leader="none"/>
        </w:tabs>
        <w:spacing w:line="240" w:lineRule="exact" w:before="3" w:after="0"/>
        <w:ind w:left="1300" w:right="847" w:hanging="360"/>
        <w:jc w:val="left"/>
        <w:rPr>
          <w:sz w:val="22"/>
        </w:rPr>
      </w:pPr>
      <w:r>
        <w:rPr>
          <w:sz w:val="22"/>
        </w:rPr>
        <w:t>The contractor shall provide a single-line network diagram for each DAS to include each Modbus Device and sizing of each meter (V/AMP, Pipe Dia.) and provide an As-built drawing of the metering system to include schematic location of metering equipment relative to building and or shore</w:t>
      </w:r>
      <w:r>
        <w:rPr>
          <w:spacing w:val="-2"/>
          <w:sz w:val="22"/>
        </w:rPr>
        <w:t> </w:t>
      </w:r>
      <w:r>
        <w:rPr>
          <w:sz w:val="22"/>
        </w:rPr>
        <w:t>tie.</w:t>
      </w:r>
    </w:p>
    <w:p>
      <w:pPr>
        <w:pStyle w:val="ListParagraph"/>
        <w:numPr>
          <w:ilvl w:val="1"/>
          <w:numId w:val="23"/>
        </w:numPr>
        <w:tabs>
          <w:tab w:pos="1300" w:val="left" w:leader="none"/>
          <w:tab w:pos="1301" w:val="left" w:leader="none"/>
        </w:tabs>
        <w:spacing w:line="240" w:lineRule="exact" w:before="0" w:after="0"/>
        <w:ind w:left="1300" w:right="762" w:hanging="360"/>
        <w:jc w:val="left"/>
        <w:rPr>
          <w:sz w:val="22"/>
        </w:rPr>
      </w:pPr>
      <w:r>
        <w:rPr>
          <w:sz w:val="22"/>
        </w:rPr>
        <w:t>The contractor shall complete the CG Equipment Enrollment Spreadsheet of all advanced metering equipment installed to include the information as required to allow for enrollment of new or modified equipment into the CG’s Computerized Maintenance Management System</w:t>
      </w:r>
      <w:r>
        <w:rPr>
          <w:spacing w:val="-1"/>
          <w:sz w:val="22"/>
        </w:rPr>
        <w:t> </w:t>
      </w:r>
      <w:r>
        <w:rPr>
          <w:sz w:val="22"/>
        </w:rPr>
        <w:t>(CMMS).</w:t>
      </w:r>
    </w:p>
    <w:p>
      <w:pPr>
        <w:pStyle w:val="ListParagraph"/>
        <w:numPr>
          <w:ilvl w:val="1"/>
          <w:numId w:val="23"/>
        </w:numPr>
        <w:tabs>
          <w:tab w:pos="1300" w:val="left" w:leader="none"/>
          <w:tab w:pos="1301" w:val="left" w:leader="none"/>
        </w:tabs>
        <w:spacing w:line="240" w:lineRule="exact" w:before="0" w:after="0"/>
        <w:ind w:left="1300" w:right="908" w:hanging="360"/>
        <w:jc w:val="left"/>
        <w:rPr>
          <w:sz w:val="22"/>
        </w:rPr>
      </w:pPr>
      <w:r>
        <w:rPr>
          <w:sz w:val="22"/>
        </w:rPr>
        <w:t>The contractor shall provide Equipment User Manual for each equipment type installed.</w:t>
      </w:r>
      <w:r>
        <w:rPr>
          <w:color w:val="0000FF"/>
          <w:sz w:val="22"/>
          <w:u w:val="single" w:color="0000FF"/>
        </w:rPr>
        <w:t> </w:t>
      </w:r>
      <w:hyperlink r:id="rId39">
        <w:r>
          <w:rPr>
            <w:color w:val="0000FF"/>
            <w:sz w:val="22"/>
            <w:u w:val="single" w:color="0000FF"/>
          </w:rPr>
          <w:t>http://www.obvius.com</w:t>
        </w:r>
      </w:hyperlink>
    </w:p>
    <w:p>
      <w:pPr>
        <w:spacing w:after="0" w:line="240" w:lineRule="exact"/>
        <w:jc w:val="left"/>
        <w:rPr>
          <w:sz w:val="22"/>
        </w:rPr>
        <w:sectPr>
          <w:pgSz w:w="12240" w:h="15840"/>
          <w:pgMar w:header="724" w:footer="1020" w:top="1220" w:bottom="1220" w:left="860" w:right="680"/>
        </w:sectPr>
      </w:pPr>
    </w:p>
    <w:p>
      <w:pPr>
        <w:pStyle w:val="BodyText"/>
        <w:spacing w:before="6"/>
        <w:rPr>
          <w:sz w:val="20"/>
        </w:rPr>
      </w:pPr>
    </w:p>
    <w:p>
      <w:pPr>
        <w:pStyle w:val="BodyText"/>
        <w:ind w:left="627"/>
        <w:rPr>
          <w:sz w:val="20"/>
        </w:rPr>
      </w:pPr>
      <w:r>
        <w:rPr>
          <w:sz w:val="20"/>
        </w:rPr>
        <w:pict>
          <v:group style="width:463.55pt;height:247.4pt;mso-position-horizontal-relative:char;mso-position-vertical-relative:line" coordorigin="0,0" coordsize="9271,4948">
            <v:shape style="position:absolute;left:15;top:15;width:9241;height:4918" type="#_x0000_t75" stroked="false">
              <v:imagedata r:id="rId47" o:title=""/>
            </v:shape>
            <v:rect style="position:absolute;left:7;top:7;width:9256;height:4933" filled="false" stroked="true" strokeweight=".75pt" strokecolor="#000000">
              <v:stroke dashstyle="solid"/>
            </v:rect>
          </v:group>
        </w:pict>
      </w:r>
      <w:r>
        <w:rPr>
          <w:sz w:val="20"/>
        </w:rPr>
      </w:r>
    </w:p>
    <w:p>
      <w:pPr>
        <w:spacing w:before="119"/>
        <w:ind w:left="31" w:right="203" w:firstLine="0"/>
        <w:jc w:val="center"/>
        <w:rPr>
          <w:b/>
          <w:sz w:val="22"/>
        </w:rPr>
      </w:pPr>
      <w:r>
        <w:rPr>
          <w:b/>
          <w:sz w:val="22"/>
        </w:rPr>
        <w:t>Figure 1- ModBus Device List</w:t>
      </w:r>
    </w:p>
    <w:p>
      <w:pPr>
        <w:pStyle w:val="BodyText"/>
        <w:rPr>
          <w:b/>
          <w:sz w:val="20"/>
        </w:rPr>
      </w:pPr>
      <w:r>
        <w:rPr/>
        <w:pict>
          <v:group style="position:absolute;margin-left:70.650002pt;margin-top:13.486074pt;width:467.8pt;height:242pt;mso-position-horizontal-relative:page;mso-position-vertical-relative:paragraph;z-index:1040;mso-wrap-distance-left:0;mso-wrap-distance-right:0" coordorigin="1413,270" coordsize="9356,4840">
            <v:shape style="position:absolute;left:1428;top:284;width:9323;height:4810" type="#_x0000_t75" stroked="false">
              <v:imagedata r:id="rId48" o:title=""/>
            </v:shape>
            <v:rect style="position:absolute;left:1420;top:277;width:9341;height:4825" filled="false" stroked="true" strokeweight=".75pt" strokecolor="#000000">
              <v:stroke dashstyle="solid"/>
            </v:rect>
            <w10:wrap type="topAndBottom"/>
          </v:group>
        </w:pict>
      </w:r>
    </w:p>
    <w:p>
      <w:pPr>
        <w:spacing w:before="148"/>
        <w:ind w:left="3513" w:right="0" w:firstLine="0"/>
        <w:jc w:val="left"/>
        <w:rPr>
          <w:b/>
          <w:sz w:val="22"/>
        </w:rPr>
      </w:pPr>
      <w:r>
        <w:rPr>
          <w:b/>
          <w:sz w:val="22"/>
        </w:rPr>
        <w:t>Figure 2 – Transceiver ModMesh</w:t>
      </w:r>
    </w:p>
    <w:p>
      <w:pPr>
        <w:spacing w:after="0"/>
        <w:jc w:val="left"/>
        <w:rPr>
          <w:sz w:val="22"/>
        </w:rPr>
        <w:sectPr>
          <w:pgSz w:w="12240" w:h="15840"/>
          <w:pgMar w:header="724" w:footer="1020" w:top="1220" w:bottom="1220" w:left="860" w:right="680"/>
        </w:sectPr>
      </w:pPr>
    </w:p>
    <w:p>
      <w:pPr>
        <w:pStyle w:val="BodyText"/>
        <w:rPr>
          <w:b/>
          <w:sz w:val="20"/>
        </w:rPr>
      </w:pPr>
    </w:p>
    <w:p>
      <w:pPr>
        <w:pStyle w:val="BodyText"/>
        <w:rPr>
          <w:b/>
          <w:sz w:val="20"/>
        </w:rPr>
      </w:pPr>
    </w:p>
    <w:p>
      <w:pPr>
        <w:pStyle w:val="BodyText"/>
        <w:spacing w:before="1" w:after="1"/>
        <w:rPr>
          <w:b/>
          <w:sz w:val="19"/>
        </w:rPr>
      </w:pPr>
    </w:p>
    <w:p>
      <w:pPr>
        <w:pStyle w:val="BodyText"/>
        <w:ind w:left="590"/>
        <w:rPr>
          <w:sz w:val="20"/>
        </w:rPr>
      </w:pPr>
      <w:r>
        <w:rPr>
          <w:sz w:val="20"/>
        </w:rPr>
        <w:pict>
          <v:group style="width:469.9pt;height:155.65pt;mso-position-horizontal-relative:char;mso-position-vertical-relative:line" coordorigin="0,0" coordsize="9398,3113">
            <v:shape style="position:absolute;left:20;top:20;width:9358;height:3073" type="#_x0000_t75" stroked="false">
              <v:imagedata r:id="rId49" o:title=""/>
            </v:shape>
            <v:rect style="position:absolute;left:10;top:10;width:9378;height:3093" filled="false" stroked="true" strokeweight="1pt" strokecolor="#000000">
              <v:stroke dashstyle="solid"/>
            </v:rect>
          </v:group>
        </w:pict>
      </w:r>
      <w:r>
        <w:rPr>
          <w:sz w:val="20"/>
        </w:rPr>
      </w:r>
    </w:p>
    <w:p>
      <w:pPr>
        <w:spacing w:before="29"/>
        <w:ind w:left="31" w:right="207" w:firstLine="0"/>
        <w:jc w:val="center"/>
        <w:rPr>
          <w:b/>
          <w:sz w:val="22"/>
        </w:rPr>
      </w:pPr>
      <w:r>
        <w:rPr>
          <w:b/>
          <w:sz w:val="22"/>
        </w:rPr>
        <w:t>Figure 3 – Equipment Enrollment Template</w:t>
      </w:r>
    </w:p>
    <w:p>
      <w:pPr>
        <w:pStyle w:val="BodyText"/>
        <w:rPr>
          <w:b/>
          <w:sz w:val="20"/>
        </w:rPr>
      </w:pPr>
    </w:p>
    <w:p>
      <w:pPr>
        <w:pStyle w:val="BodyText"/>
        <w:rPr>
          <w:b/>
          <w:sz w:val="20"/>
        </w:rPr>
      </w:pPr>
    </w:p>
    <w:p>
      <w:pPr>
        <w:pStyle w:val="BodyText"/>
        <w:rPr>
          <w:b/>
          <w:sz w:val="20"/>
        </w:rPr>
      </w:pPr>
    </w:p>
    <w:p>
      <w:pPr>
        <w:pStyle w:val="BodyText"/>
        <w:spacing w:before="8"/>
        <w:rPr>
          <w:b/>
          <w:sz w:val="14"/>
        </w:rPr>
      </w:pPr>
      <w:r>
        <w:rPr/>
        <w:drawing>
          <wp:anchor distT="0" distB="0" distL="0" distR="0" allowOverlap="1" layoutInCell="1" locked="0" behindDoc="0" simplePos="0" relativeHeight="88">
            <wp:simplePos x="0" y="0"/>
            <wp:positionH relativeFrom="page">
              <wp:posOffset>2026920</wp:posOffset>
            </wp:positionH>
            <wp:positionV relativeFrom="paragraph">
              <wp:posOffset>132638</wp:posOffset>
            </wp:positionV>
            <wp:extent cx="3683511" cy="4714970"/>
            <wp:effectExtent l="0" t="0" r="0" b="0"/>
            <wp:wrapTopAndBottom/>
            <wp:docPr id="11" name="image32.jpeg" descr=""/>
            <wp:cNvGraphicFramePr>
              <a:graphicFrameLocks noChangeAspect="1"/>
            </wp:cNvGraphicFramePr>
            <a:graphic>
              <a:graphicData uri="http://schemas.openxmlformats.org/drawingml/2006/picture">
                <pic:pic>
                  <pic:nvPicPr>
                    <pic:cNvPr id="12" name="image32.jpeg"/>
                    <pic:cNvPicPr/>
                  </pic:nvPicPr>
                  <pic:blipFill>
                    <a:blip r:embed="rId50" cstate="print"/>
                    <a:stretch>
                      <a:fillRect/>
                    </a:stretch>
                  </pic:blipFill>
                  <pic:spPr>
                    <a:xfrm>
                      <a:off x="0" y="0"/>
                      <a:ext cx="3683511" cy="4714970"/>
                    </a:xfrm>
                    <a:prstGeom prst="rect">
                      <a:avLst/>
                    </a:prstGeom>
                  </pic:spPr>
                </pic:pic>
              </a:graphicData>
            </a:graphic>
          </wp:anchor>
        </w:drawing>
      </w:r>
    </w:p>
    <w:p>
      <w:pPr>
        <w:pStyle w:val="BodyText"/>
        <w:spacing w:before="4"/>
        <w:rPr>
          <w:b/>
          <w:sz w:val="29"/>
        </w:rPr>
      </w:pPr>
    </w:p>
    <w:p>
      <w:pPr>
        <w:spacing w:before="0"/>
        <w:ind w:left="31" w:right="205" w:firstLine="0"/>
        <w:jc w:val="center"/>
        <w:rPr>
          <w:b/>
          <w:sz w:val="22"/>
        </w:rPr>
      </w:pPr>
      <w:r>
        <w:rPr>
          <w:b/>
          <w:sz w:val="22"/>
        </w:rPr>
        <w:t>Figure 4 – Sample As-Built</w:t>
      </w:r>
    </w:p>
    <w:p>
      <w:pPr>
        <w:spacing w:after="0"/>
        <w:jc w:val="center"/>
        <w:rPr>
          <w:sz w:val="22"/>
        </w:rPr>
        <w:sectPr>
          <w:pgSz w:w="12240" w:h="15840"/>
          <w:pgMar w:header="724" w:footer="1020" w:top="1220" w:bottom="1220" w:left="860" w:right="680"/>
        </w:sectPr>
      </w:pPr>
    </w:p>
    <w:p>
      <w:pPr>
        <w:pStyle w:val="BodyText"/>
        <w:rPr>
          <w:b/>
          <w:sz w:val="12"/>
        </w:rPr>
      </w:pPr>
    </w:p>
    <w:p>
      <w:pPr>
        <w:pStyle w:val="BodyText"/>
        <w:ind w:left="551"/>
        <w:rPr>
          <w:sz w:val="20"/>
        </w:rPr>
      </w:pPr>
      <w:r>
        <w:rPr>
          <w:sz w:val="20"/>
        </w:rPr>
        <w:pict>
          <v:shape style="width:471pt;height:18.150pt;mso-position-horizontal-relative:char;mso-position-vertical-relative:line" type="#_x0000_t202" filled="true" fillcolor="#d9d9d9" stroked="false">
            <w10:anchorlock/>
            <v:textbox inset="0,0,0,0">
              <w:txbxContent>
                <w:p>
                  <w:pPr>
                    <w:spacing w:before="18"/>
                    <w:ind w:left="28" w:right="0" w:firstLine="0"/>
                    <w:jc w:val="left"/>
                    <w:rPr>
                      <w:b/>
                      <w:sz w:val="28"/>
                    </w:rPr>
                  </w:pPr>
                  <w:bookmarkStart w:name="_bookmark49" w:id="83"/>
                  <w:bookmarkEnd w:id="83"/>
                  <w:r>
                    <w:rPr/>
                  </w:r>
                  <w:r>
                    <w:rPr>
                      <w:b/>
                      <w:sz w:val="28"/>
                    </w:rPr>
                    <w:t>Appendix F – Advanced Metering Equipment Naming Convention</w:t>
                  </w:r>
                </w:p>
              </w:txbxContent>
            </v:textbox>
            <v:fill type="solid"/>
          </v:shape>
        </w:pict>
      </w:r>
      <w:r>
        <w:rPr>
          <w:sz w:val="20"/>
        </w:rPr>
      </w:r>
    </w:p>
    <w:p>
      <w:pPr>
        <w:pStyle w:val="BodyText"/>
        <w:spacing w:before="1"/>
        <w:rPr>
          <w:b/>
          <w:sz w:val="10"/>
        </w:rPr>
      </w:pPr>
    </w:p>
    <w:p>
      <w:pPr>
        <w:spacing w:before="92"/>
        <w:ind w:left="580" w:right="801" w:firstLine="0"/>
        <w:jc w:val="left"/>
        <w:rPr>
          <w:sz w:val="24"/>
        </w:rPr>
      </w:pPr>
      <w:r>
        <w:rPr/>
        <w:pict>
          <v:line style="position:absolute;mso-position-horizontal-relative:page;mso-position-vertical-relative:paragraph;z-index:3184" from="70.584pt,-25.564112pt" to="541.564pt,-25.564112pt" stroked="true" strokeweight=".48pt" strokecolor="#808080">
            <v:stroke dashstyle="solid"/>
            <w10:wrap type="none"/>
          </v:line>
        </w:pict>
      </w:r>
      <w:r>
        <w:rPr/>
        <w:pict>
          <v:line style="position:absolute;mso-position-horizontal-relative:page;mso-position-vertical-relative:paragraph;z-index:3208" from="70.584pt,-6.944111pt" to="541.564pt,-6.944111pt" stroked="true" strokeweight=".48pt" strokecolor="#808080">
            <v:stroke dashstyle="solid"/>
            <w10:wrap type="none"/>
          </v:line>
        </w:pict>
      </w:r>
      <w:r>
        <w:rPr>
          <w:sz w:val="24"/>
        </w:rPr>
        <w:t>The Coast Guard has established naming convention for advanced metering equipment is as follows:</w:t>
      </w:r>
    </w:p>
    <w:p>
      <w:pPr>
        <w:pStyle w:val="BodyText"/>
        <w:rPr>
          <w:sz w:val="24"/>
        </w:rPr>
      </w:pPr>
    </w:p>
    <w:p>
      <w:pPr>
        <w:pStyle w:val="ListParagraph"/>
        <w:numPr>
          <w:ilvl w:val="0"/>
          <w:numId w:val="24"/>
        </w:numPr>
        <w:tabs>
          <w:tab w:pos="941" w:val="left" w:leader="none"/>
        </w:tabs>
        <w:spacing w:line="240" w:lineRule="auto" w:before="0" w:after="0"/>
        <w:ind w:left="940" w:right="0" w:hanging="360"/>
        <w:jc w:val="left"/>
        <w:rPr>
          <w:b/>
          <w:sz w:val="24"/>
        </w:rPr>
      </w:pPr>
      <w:r>
        <w:rPr>
          <w:b/>
          <w:sz w:val="24"/>
        </w:rPr>
        <w:t>Data Acquisition Server</w:t>
      </w:r>
      <w:r>
        <w:rPr>
          <w:b/>
          <w:spacing w:val="2"/>
          <w:sz w:val="24"/>
        </w:rPr>
        <w:t> </w:t>
      </w:r>
      <w:r>
        <w:rPr>
          <w:b/>
          <w:sz w:val="24"/>
        </w:rPr>
        <w:t>(DAS)</w:t>
      </w:r>
    </w:p>
    <w:p>
      <w:pPr>
        <w:pStyle w:val="Heading4"/>
        <w:numPr>
          <w:ilvl w:val="1"/>
          <w:numId w:val="24"/>
        </w:numPr>
        <w:tabs>
          <w:tab w:pos="1300" w:val="left" w:leader="none"/>
          <w:tab w:pos="1301" w:val="left" w:leader="none"/>
        </w:tabs>
        <w:spacing w:line="268" w:lineRule="exact" w:before="122" w:after="0"/>
        <w:ind w:left="1300" w:right="0" w:hanging="360"/>
        <w:jc w:val="left"/>
        <w:rPr>
          <w:i/>
        </w:rPr>
      </w:pPr>
      <w:r>
        <w:rPr>
          <w:i/>
        </w:rPr>
        <w:t>Unit Name - DAS #(Roman Numeral) –Bldg#(or Name if no #) where</w:t>
      </w:r>
      <w:r>
        <w:rPr>
          <w:i/>
          <w:spacing w:val="-8"/>
        </w:rPr>
        <w:t> </w:t>
      </w:r>
      <w:r>
        <w:rPr>
          <w:i/>
        </w:rPr>
        <w:t>located:</w:t>
      </w:r>
    </w:p>
    <w:p>
      <w:pPr>
        <w:pStyle w:val="ListParagraph"/>
        <w:numPr>
          <w:ilvl w:val="2"/>
          <w:numId w:val="24"/>
        </w:numPr>
        <w:tabs>
          <w:tab w:pos="2020" w:val="left" w:leader="none"/>
          <w:tab w:pos="2021" w:val="left" w:leader="none"/>
        </w:tabs>
        <w:spacing w:line="261" w:lineRule="exact" w:before="0" w:after="0"/>
        <w:ind w:left="2020" w:right="0" w:hanging="360"/>
        <w:jc w:val="left"/>
        <w:rPr>
          <w:rFonts w:ascii="Courier New"/>
          <w:sz w:val="22"/>
        </w:rPr>
      </w:pPr>
      <w:r>
        <w:rPr>
          <w:sz w:val="22"/>
        </w:rPr>
        <w:t>If the DAS serves Housing- add Housing after Bldg</w:t>
      </w:r>
      <w:r>
        <w:rPr>
          <w:spacing w:val="-2"/>
          <w:sz w:val="22"/>
        </w:rPr>
        <w:t> </w:t>
      </w:r>
      <w:r>
        <w:rPr>
          <w:sz w:val="22"/>
        </w:rPr>
        <w:t>#.</w:t>
      </w:r>
    </w:p>
    <w:p>
      <w:pPr>
        <w:pStyle w:val="ListParagraph"/>
        <w:numPr>
          <w:ilvl w:val="2"/>
          <w:numId w:val="24"/>
        </w:numPr>
        <w:tabs>
          <w:tab w:pos="2020" w:val="left" w:leader="none"/>
          <w:tab w:pos="2021" w:val="left" w:leader="none"/>
        </w:tabs>
        <w:spacing w:line="253" w:lineRule="exact" w:before="0" w:after="0"/>
        <w:ind w:left="2020" w:right="0" w:hanging="360"/>
        <w:jc w:val="left"/>
        <w:rPr>
          <w:rFonts w:ascii="Courier New"/>
          <w:sz w:val="22"/>
        </w:rPr>
      </w:pPr>
      <w:r>
        <w:rPr>
          <w:sz w:val="22"/>
        </w:rPr>
        <w:t>DAS # begins with I (roman numeral).</w:t>
      </w:r>
    </w:p>
    <w:p>
      <w:pPr>
        <w:pStyle w:val="Heading4"/>
        <w:numPr>
          <w:ilvl w:val="2"/>
          <w:numId w:val="24"/>
        </w:numPr>
        <w:tabs>
          <w:tab w:pos="2020" w:val="left" w:leader="none"/>
          <w:tab w:pos="2021" w:val="left" w:leader="none"/>
        </w:tabs>
        <w:spacing w:line="223" w:lineRule="auto" w:before="4" w:after="0"/>
        <w:ind w:left="2020" w:right="1691" w:hanging="360"/>
        <w:jc w:val="left"/>
        <w:rPr>
          <w:rFonts w:ascii="Courier New" w:hAnsi="Courier New"/>
          <w:color w:val="FF0000"/>
        </w:rPr>
      </w:pPr>
      <w:r>
        <w:rPr>
          <w:b w:val="0"/>
          <w:i/>
        </w:rPr>
        <w:t>Example: </w:t>
      </w:r>
      <w:r>
        <w:rPr>
          <w:i/>
          <w:color w:val="FF0000"/>
        </w:rPr>
        <w:t>BASE KODIAK I - Bldg 26 </w:t>
      </w:r>
      <w:r>
        <w:rPr>
          <w:b w:val="0"/>
          <w:i/>
        </w:rPr>
        <w:t>or </w:t>
      </w:r>
      <w:r>
        <w:rPr>
          <w:i/>
          <w:color w:val="FF0000"/>
        </w:rPr>
        <w:t>BASE KETCHIKAN II – FRC – </w:t>
      </w:r>
      <w:r>
        <w:rPr>
          <w:color w:val="FF0000"/>
        </w:rPr>
        <w:t>Housing.</w:t>
      </w:r>
    </w:p>
    <w:p>
      <w:pPr>
        <w:pStyle w:val="ListParagraph"/>
        <w:numPr>
          <w:ilvl w:val="2"/>
          <w:numId w:val="24"/>
        </w:numPr>
        <w:tabs>
          <w:tab w:pos="2020" w:val="left" w:leader="none"/>
          <w:tab w:pos="2021" w:val="left" w:leader="none"/>
        </w:tabs>
        <w:spacing w:line="262" w:lineRule="exact" w:before="3" w:after="0"/>
        <w:ind w:left="2020" w:right="0" w:hanging="360"/>
        <w:jc w:val="left"/>
        <w:rPr>
          <w:rFonts w:ascii="Courier New"/>
          <w:sz w:val="22"/>
        </w:rPr>
      </w:pPr>
      <w:r>
        <w:rPr>
          <w:sz w:val="22"/>
        </w:rPr>
        <w:t>MODBUS Device # for DAS is always 250 (different than DAS</w:t>
      </w:r>
      <w:r>
        <w:rPr>
          <w:spacing w:val="-4"/>
          <w:sz w:val="22"/>
        </w:rPr>
        <w:t> </w:t>
      </w:r>
      <w:r>
        <w:rPr>
          <w:sz w:val="22"/>
        </w:rPr>
        <w:t>#).</w:t>
      </w:r>
    </w:p>
    <w:p>
      <w:pPr>
        <w:pStyle w:val="ListParagraph"/>
        <w:numPr>
          <w:ilvl w:val="0"/>
          <w:numId w:val="24"/>
        </w:numPr>
        <w:tabs>
          <w:tab w:pos="941" w:val="left" w:leader="none"/>
        </w:tabs>
        <w:spacing w:line="266" w:lineRule="exact" w:before="0" w:after="0"/>
        <w:ind w:left="940" w:right="0" w:hanging="360"/>
        <w:jc w:val="left"/>
        <w:rPr>
          <w:b/>
          <w:sz w:val="24"/>
        </w:rPr>
      </w:pPr>
      <w:r>
        <w:rPr>
          <w:b/>
          <w:sz w:val="24"/>
        </w:rPr>
        <w:t>Transceiver – Modhopper</w:t>
      </w:r>
      <w:r>
        <w:rPr>
          <w:b/>
          <w:spacing w:val="3"/>
          <w:sz w:val="24"/>
        </w:rPr>
        <w:t> </w:t>
      </w:r>
      <w:r>
        <w:rPr>
          <w:b/>
          <w:sz w:val="24"/>
        </w:rPr>
        <w:t>(XCRV)</w:t>
      </w:r>
    </w:p>
    <w:p>
      <w:pPr>
        <w:pStyle w:val="Heading4"/>
        <w:numPr>
          <w:ilvl w:val="1"/>
          <w:numId w:val="24"/>
        </w:numPr>
        <w:tabs>
          <w:tab w:pos="1300" w:val="left" w:leader="none"/>
          <w:tab w:pos="1301" w:val="left" w:leader="none"/>
        </w:tabs>
        <w:spacing w:line="268" w:lineRule="exact" w:before="122" w:after="0"/>
        <w:ind w:left="1300" w:right="0" w:hanging="360"/>
        <w:jc w:val="left"/>
        <w:rPr>
          <w:i/>
        </w:rPr>
      </w:pPr>
      <w:r>
        <w:rPr>
          <w:i/>
        </w:rPr>
        <w:t>Bldg# and Name (if available) where located - Transceiver</w:t>
      </w:r>
      <w:r>
        <w:rPr>
          <w:i/>
          <w:spacing w:val="-9"/>
        </w:rPr>
        <w:t> </w:t>
      </w:r>
      <w:r>
        <w:rPr>
          <w:i/>
        </w:rPr>
        <w:t>Device#:</w:t>
      </w:r>
    </w:p>
    <w:p>
      <w:pPr>
        <w:pStyle w:val="ListParagraph"/>
        <w:numPr>
          <w:ilvl w:val="2"/>
          <w:numId w:val="24"/>
        </w:numPr>
        <w:tabs>
          <w:tab w:pos="2020" w:val="left" w:leader="none"/>
          <w:tab w:pos="2021" w:val="left" w:leader="none"/>
        </w:tabs>
        <w:spacing w:line="261" w:lineRule="exact" w:before="0" w:after="0"/>
        <w:ind w:left="2020" w:right="0" w:hanging="360"/>
        <w:jc w:val="left"/>
        <w:rPr>
          <w:rFonts w:ascii="Courier New"/>
          <w:b/>
          <w:i/>
          <w:sz w:val="22"/>
        </w:rPr>
      </w:pPr>
      <w:r>
        <w:rPr>
          <w:i/>
          <w:sz w:val="22"/>
        </w:rPr>
        <w:t>Example: </w:t>
      </w:r>
      <w:r>
        <w:rPr>
          <w:b/>
          <w:i/>
          <w:color w:val="FF0000"/>
          <w:sz w:val="22"/>
        </w:rPr>
        <w:t>Bldg 1234- UPH- XCVR128 </w:t>
      </w:r>
      <w:r>
        <w:rPr>
          <w:i/>
          <w:sz w:val="22"/>
        </w:rPr>
        <w:t>or </w:t>
      </w:r>
      <w:r>
        <w:rPr>
          <w:b/>
          <w:i/>
          <w:color w:val="FF0000"/>
          <w:sz w:val="22"/>
        </w:rPr>
        <w:t>Bldg</w:t>
      </w:r>
      <w:r>
        <w:rPr>
          <w:b/>
          <w:i/>
          <w:color w:val="FF0000"/>
          <w:spacing w:val="1"/>
          <w:sz w:val="22"/>
        </w:rPr>
        <w:t> </w:t>
      </w:r>
      <w:r>
        <w:rPr>
          <w:b/>
          <w:i/>
          <w:color w:val="FF0000"/>
          <w:sz w:val="22"/>
        </w:rPr>
        <w:t>42-MWR-XCVR132.</w:t>
      </w:r>
    </w:p>
    <w:p>
      <w:pPr>
        <w:pStyle w:val="ListParagraph"/>
        <w:numPr>
          <w:ilvl w:val="2"/>
          <w:numId w:val="24"/>
        </w:numPr>
        <w:tabs>
          <w:tab w:pos="2021" w:val="left" w:leader="none"/>
        </w:tabs>
        <w:spacing w:line="218" w:lineRule="auto" w:before="8" w:after="0"/>
        <w:ind w:left="2020" w:right="1007" w:hanging="360"/>
        <w:jc w:val="left"/>
        <w:rPr>
          <w:rFonts w:ascii="Courier New"/>
          <w:sz w:val="24"/>
        </w:rPr>
      </w:pPr>
      <w:r>
        <w:rPr>
          <w:sz w:val="22"/>
        </w:rPr>
        <w:t>MODBUS Device # is same as Transceiver (XCRV) # which begins with 128 at the </w:t>
      </w:r>
      <w:r>
        <w:rPr>
          <w:sz w:val="24"/>
        </w:rPr>
        <w:t>DAS.</w:t>
      </w:r>
    </w:p>
    <w:p>
      <w:pPr>
        <w:pStyle w:val="ListParagraph"/>
        <w:numPr>
          <w:ilvl w:val="0"/>
          <w:numId w:val="24"/>
        </w:numPr>
        <w:tabs>
          <w:tab w:pos="941" w:val="left" w:leader="none"/>
        </w:tabs>
        <w:spacing w:line="240" w:lineRule="auto" w:before="6" w:after="0"/>
        <w:ind w:left="940" w:right="0" w:hanging="360"/>
        <w:jc w:val="left"/>
        <w:rPr>
          <w:b/>
          <w:sz w:val="24"/>
        </w:rPr>
      </w:pPr>
      <w:r>
        <w:rPr>
          <w:b/>
          <w:sz w:val="24"/>
        </w:rPr>
        <w:t>I/O Flex Modules or HD Pulse Modules (IOM)</w:t>
      </w:r>
    </w:p>
    <w:p>
      <w:pPr>
        <w:pStyle w:val="Heading4"/>
        <w:numPr>
          <w:ilvl w:val="1"/>
          <w:numId w:val="24"/>
        </w:numPr>
        <w:tabs>
          <w:tab w:pos="1300" w:val="left" w:leader="none"/>
          <w:tab w:pos="1301" w:val="left" w:leader="none"/>
        </w:tabs>
        <w:spacing w:line="268" w:lineRule="exact" w:before="121" w:after="0"/>
        <w:ind w:left="1300" w:right="0" w:hanging="360"/>
        <w:jc w:val="left"/>
        <w:rPr>
          <w:i/>
        </w:rPr>
      </w:pPr>
      <w:r>
        <w:rPr>
          <w:i/>
        </w:rPr>
        <w:t>Bldg# and Name (if available) where located, I/O</w:t>
      </w:r>
      <w:r>
        <w:rPr>
          <w:i/>
          <w:spacing w:val="-5"/>
        </w:rPr>
        <w:t> </w:t>
      </w:r>
      <w:r>
        <w:rPr>
          <w:i/>
        </w:rPr>
        <w:t>Flex#:</w:t>
      </w:r>
    </w:p>
    <w:p>
      <w:pPr>
        <w:pStyle w:val="ListParagraph"/>
        <w:numPr>
          <w:ilvl w:val="2"/>
          <w:numId w:val="24"/>
        </w:numPr>
        <w:tabs>
          <w:tab w:pos="2020" w:val="left" w:leader="none"/>
          <w:tab w:pos="2021" w:val="left" w:leader="none"/>
        </w:tabs>
        <w:spacing w:line="261" w:lineRule="exact" w:before="0" w:after="0"/>
        <w:ind w:left="2020" w:right="0" w:hanging="360"/>
        <w:jc w:val="left"/>
        <w:rPr>
          <w:rFonts w:ascii="Courier New"/>
          <w:b/>
          <w:i/>
          <w:sz w:val="22"/>
        </w:rPr>
      </w:pPr>
      <w:r>
        <w:rPr>
          <w:i/>
          <w:sz w:val="22"/>
        </w:rPr>
        <w:t>Example: </w:t>
      </w:r>
      <w:r>
        <w:rPr>
          <w:b/>
          <w:i/>
          <w:color w:val="FF0000"/>
          <w:sz w:val="22"/>
        </w:rPr>
        <w:t>Bldg</w:t>
      </w:r>
      <w:r>
        <w:rPr>
          <w:b/>
          <w:i/>
          <w:color w:val="FF0000"/>
          <w:spacing w:val="1"/>
          <w:sz w:val="22"/>
        </w:rPr>
        <w:t> </w:t>
      </w:r>
      <w:r>
        <w:rPr>
          <w:b/>
          <w:i/>
          <w:color w:val="FF0000"/>
          <w:sz w:val="22"/>
        </w:rPr>
        <w:t>1234-UPH-IOM201.</w:t>
      </w:r>
    </w:p>
    <w:p>
      <w:pPr>
        <w:pStyle w:val="ListParagraph"/>
        <w:numPr>
          <w:ilvl w:val="2"/>
          <w:numId w:val="24"/>
        </w:numPr>
        <w:tabs>
          <w:tab w:pos="2020" w:val="left" w:leader="none"/>
          <w:tab w:pos="2021" w:val="left" w:leader="none"/>
        </w:tabs>
        <w:spacing w:line="253" w:lineRule="exact" w:before="0" w:after="0"/>
        <w:ind w:left="2020" w:right="0" w:hanging="360"/>
        <w:jc w:val="left"/>
        <w:rPr>
          <w:rFonts w:ascii="Courier New"/>
          <w:sz w:val="22"/>
        </w:rPr>
      </w:pPr>
      <w:r>
        <w:rPr>
          <w:sz w:val="22"/>
        </w:rPr>
        <w:t>MODBUS Device # is same as I/O Flex# begins with 200.</w:t>
      </w:r>
    </w:p>
    <w:p>
      <w:pPr>
        <w:pStyle w:val="ListParagraph"/>
        <w:numPr>
          <w:ilvl w:val="0"/>
          <w:numId w:val="24"/>
        </w:numPr>
        <w:tabs>
          <w:tab w:pos="941" w:val="left" w:leader="none"/>
        </w:tabs>
        <w:spacing w:line="267" w:lineRule="exact" w:before="0" w:after="0"/>
        <w:ind w:left="940" w:right="0" w:hanging="360"/>
        <w:jc w:val="left"/>
        <w:rPr>
          <w:b/>
          <w:sz w:val="24"/>
        </w:rPr>
      </w:pPr>
      <w:r>
        <w:rPr>
          <w:b/>
          <w:sz w:val="24"/>
        </w:rPr>
        <w:t>Meters</w:t>
      </w:r>
      <w:r>
        <w:rPr>
          <w:b/>
          <w:spacing w:val="1"/>
          <w:sz w:val="24"/>
        </w:rPr>
        <w:t> </w:t>
      </w:r>
      <w:r>
        <w:rPr>
          <w:b/>
          <w:sz w:val="24"/>
        </w:rPr>
        <w:t>(EAM,GAM,WAM)</w:t>
      </w:r>
    </w:p>
    <w:p>
      <w:pPr>
        <w:pStyle w:val="ListParagraph"/>
        <w:numPr>
          <w:ilvl w:val="1"/>
          <w:numId w:val="25"/>
        </w:numPr>
        <w:tabs>
          <w:tab w:pos="1327" w:val="left" w:leader="none"/>
        </w:tabs>
        <w:spacing w:line="240" w:lineRule="auto" w:before="117" w:after="0"/>
        <w:ind w:left="1326" w:right="0" w:hanging="386"/>
        <w:jc w:val="left"/>
        <w:rPr>
          <w:b/>
          <w:i/>
          <w:sz w:val="22"/>
        </w:rPr>
      </w:pPr>
      <w:r>
        <w:rPr>
          <w:b/>
          <w:sz w:val="22"/>
        </w:rPr>
        <w:t>Facilities/Equipment/</w:t>
      </w:r>
      <w:r>
        <w:rPr>
          <w:b/>
          <w:i/>
          <w:sz w:val="22"/>
        </w:rPr>
        <w:t>Shore Ties – Small</w:t>
      </w:r>
      <w:r>
        <w:rPr>
          <w:b/>
          <w:i/>
          <w:spacing w:val="-2"/>
          <w:sz w:val="22"/>
        </w:rPr>
        <w:t> </w:t>
      </w:r>
      <w:r>
        <w:rPr>
          <w:b/>
          <w:i/>
          <w:sz w:val="22"/>
        </w:rPr>
        <w:t>Boats</w:t>
      </w:r>
    </w:p>
    <w:p>
      <w:pPr>
        <w:pStyle w:val="Heading4"/>
        <w:numPr>
          <w:ilvl w:val="2"/>
          <w:numId w:val="25"/>
        </w:numPr>
        <w:tabs>
          <w:tab w:pos="1301" w:val="left" w:leader="none"/>
        </w:tabs>
        <w:spacing w:line="268" w:lineRule="exact" w:before="162" w:after="0"/>
        <w:ind w:left="1300" w:right="0" w:hanging="269"/>
        <w:jc w:val="left"/>
        <w:rPr>
          <w:i/>
        </w:rPr>
      </w:pPr>
      <w:r>
        <w:rPr>
          <w:i/>
        </w:rPr>
        <w:t>RPUID#*-Bldg # **and Bldg Name (if Available)or Equipment Name-Meter</w:t>
      </w:r>
      <w:r>
        <w:rPr>
          <w:i/>
          <w:spacing w:val="51"/>
        </w:rPr>
        <w:t> </w:t>
      </w:r>
      <w:r>
        <w:rPr>
          <w:i/>
        </w:rPr>
        <w:t>Type***</w:t>
      </w:r>
    </w:p>
    <w:p>
      <w:pPr>
        <w:pStyle w:val="ListParagraph"/>
        <w:numPr>
          <w:ilvl w:val="3"/>
          <w:numId w:val="25"/>
        </w:numPr>
        <w:tabs>
          <w:tab w:pos="1660" w:val="left" w:leader="none"/>
          <w:tab w:pos="1661" w:val="left" w:leader="none"/>
        </w:tabs>
        <w:spacing w:line="261" w:lineRule="exact" w:before="0" w:after="0"/>
        <w:ind w:left="1660" w:right="0" w:hanging="360"/>
        <w:jc w:val="left"/>
        <w:rPr>
          <w:i/>
          <w:sz w:val="22"/>
        </w:rPr>
      </w:pPr>
      <w:r>
        <w:rPr>
          <w:i/>
          <w:sz w:val="22"/>
        </w:rPr>
        <w:t>Example:</w:t>
      </w:r>
      <w:r>
        <w:rPr>
          <w:i/>
          <w:spacing w:val="1"/>
          <w:sz w:val="22"/>
        </w:rPr>
        <w:t> </w:t>
      </w:r>
      <w:r>
        <w:rPr>
          <w:b/>
          <w:i/>
          <w:color w:val="FF0000"/>
          <w:sz w:val="22"/>
        </w:rPr>
        <w:t>66031-Bldg17-Multi-Purpose-NGAM001</w:t>
      </w:r>
      <w:r>
        <w:rPr>
          <w:i/>
          <w:sz w:val="22"/>
        </w:rPr>
        <w:t>****</w:t>
      </w:r>
    </w:p>
    <w:p>
      <w:pPr>
        <w:pStyle w:val="ListParagraph"/>
        <w:numPr>
          <w:ilvl w:val="3"/>
          <w:numId w:val="25"/>
        </w:numPr>
        <w:tabs>
          <w:tab w:pos="1660" w:val="left" w:leader="none"/>
          <w:tab w:pos="1661" w:val="left" w:leader="none"/>
        </w:tabs>
        <w:spacing w:line="251" w:lineRule="exact" w:before="0" w:after="0"/>
        <w:ind w:left="1660" w:right="0" w:hanging="360"/>
        <w:jc w:val="left"/>
        <w:rPr>
          <w:sz w:val="22"/>
        </w:rPr>
      </w:pPr>
      <w:r>
        <w:rPr>
          <w:sz w:val="22"/>
        </w:rPr>
        <w:t>MODBUS Device # for Meter begins with</w:t>
      </w:r>
      <w:r>
        <w:rPr>
          <w:spacing w:val="-4"/>
          <w:sz w:val="22"/>
        </w:rPr>
        <w:t> </w:t>
      </w:r>
      <w:r>
        <w:rPr>
          <w:sz w:val="22"/>
        </w:rPr>
        <w:t>1.</w:t>
      </w:r>
    </w:p>
    <w:p>
      <w:pPr>
        <w:pStyle w:val="ListParagraph"/>
        <w:numPr>
          <w:ilvl w:val="1"/>
          <w:numId w:val="25"/>
        </w:numPr>
        <w:tabs>
          <w:tab w:pos="1318" w:val="left" w:leader="none"/>
        </w:tabs>
        <w:spacing w:line="242" w:lineRule="exact" w:before="0" w:after="0"/>
        <w:ind w:left="1317" w:right="0" w:hanging="367"/>
        <w:jc w:val="left"/>
        <w:rPr>
          <w:b/>
          <w:sz w:val="22"/>
        </w:rPr>
      </w:pPr>
      <w:r>
        <w:rPr>
          <w:b/>
          <w:sz w:val="22"/>
        </w:rPr>
        <w:t>Shore Ties </w:t>
      </w:r>
      <w:r>
        <w:rPr>
          <w:sz w:val="22"/>
        </w:rPr>
        <w:t>– </w:t>
      </w:r>
      <w:r>
        <w:rPr>
          <w:b/>
          <w:sz w:val="22"/>
        </w:rPr>
        <w:t>Cutters (65’ and</w:t>
      </w:r>
      <w:r>
        <w:rPr>
          <w:b/>
          <w:spacing w:val="-6"/>
          <w:sz w:val="22"/>
        </w:rPr>
        <w:t> </w:t>
      </w:r>
      <w:r>
        <w:rPr>
          <w:b/>
          <w:sz w:val="22"/>
        </w:rPr>
        <w:t>above)</w:t>
      </w:r>
    </w:p>
    <w:p>
      <w:pPr>
        <w:pStyle w:val="Heading4"/>
        <w:numPr>
          <w:ilvl w:val="2"/>
          <w:numId w:val="25"/>
        </w:numPr>
        <w:tabs>
          <w:tab w:pos="1301" w:val="left" w:leader="none"/>
        </w:tabs>
        <w:spacing w:line="268" w:lineRule="exact" w:before="162" w:after="0"/>
        <w:ind w:left="1300" w:right="0" w:hanging="269"/>
        <w:jc w:val="left"/>
        <w:rPr>
          <w:i/>
        </w:rPr>
      </w:pPr>
      <w:r>
        <w:rPr>
          <w:i/>
        </w:rPr>
        <w:t>Boat Length-Boat Type -Meter</w:t>
      </w:r>
      <w:r>
        <w:rPr>
          <w:i/>
          <w:spacing w:val="-4"/>
        </w:rPr>
        <w:t> </w:t>
      </w:r>
      <w:r>
        <w:rPr>
          <w:i/>
        </w:rPr>
        <w:t>Type.</w:t>
      </w:r>
    </w:p>
    <w:p>
      <w:pPr>
        <w:pStyle w:val="ListParagraph"/>
        <w:numPr>
          <w:ilvl w:val="3"/>
          <w:numId w:val="25"/>
        </w:numPr>
        <w:tabs>
          <w:tab w:pos="1660" w:val="left" w:leader="none"/>
          <w:tab w:pos="1661" w:val="left" w:leader="none"/>
        </w:tabs>
        <w:spacing w:line="271" w:lineRule="exact" w:before="0" w:after="0"/>
        <w:ind w:left="1660" w:right="0" w:hanging="360"/>
        <w:jc w:val="left"/>
        <w:rPr>
          <w:b/>
          <w:i/>
          <w:sz w:val="22"/>
        </w:rPr>
      </w:pPr>
      <w:r>
        <w:rPr>
          <w:i/>
          <w:sz w:val="22"/>
        </w:rPr>
        <w:t>Example: </w:t>
      </w:r>
      <w:r>
        <w:rPr>
          <w:b/>
          <w:i/>
          <w:color w:val="FF0000"/>
          <w:sz w:val="22"/>
        </w:rPr>
        <w:t>65’-WYTL-Electric.</w:t>
      </w:r>
    </w:p>
    <w:p>
      <w:pPr>
        <w:spacing w:line="381" w:lineRule="auto" w:before="102"/>
        <w:ind w:left="690" w:right="2733" w:hanging="111"/>
        <w:jc w:val="left"/>
        <w:rPr>
          <w:sz w:val="20"/>
        </w:rPr>
      </w:pPr>
      <w:r>
        <w:rPr>
          <w:sz w:val="24"/>
        </w:rPr>
        <w:t>*</w:t>
      </w:r>
      <w:r>
        <w:rPr>
          <w:sz w:val="20"/>
        </w:rPr>
        <w:t>RPUID for Equipment – use RPUID of Building where equipment is housed. RPUID for Shore tie Small Boats– use RPUID of the Pier/Wharf where located.</w:t>
      </w:r>
    </w:p>
    <w:p>
      <w:pPr>
        <w:spacing w:before="16"/>
        <w:ind w:left="580" w:right="0" w:firstLine="0"/>
        <w:jc w:val="left"/>
        <w:rPr>
          <w:i/>
          <w:sz w:val="20"/>
        </w:rPr>
      </w:pPr>
      <w:r>
        <w:rPr>
          <w:sz w:val="20"/>
        </w:rPr>
        <w:t>**For multi-family buildings – include A/B/C/D with Bldg# </w:t>
      </w:r>
      <w:r>
        <w:rPr>
          <w:i/>
          <w:sz w:val="20"/>
        </w:rPr>
        <w:t>Ex.- 12345 Bldg 23A Housing Water.</w:t>
      </w:r>
    </w:p>
    <w:p>
      <w:pPr>
        <w:spacing w:before="156"/>
        <w:ind w:left="580" w:right="0" w:firstLine="0"/>
        <w:jc w:val="left"/>
        <w:rPr>
          <w:sz w:val="20"/>
        </w:rPr>
      </w:pPr>
      <w:r>
        <w:rPr>
          <w:sz w:val="20"/>
        </w:rPr>
        <w:t>*** For Pulse Meters use PEAM, PWAM, PGAM.</w:t>
      </w:r>
    </w:p>
    <w:p>
      <w:pPr>
        <w:spacing w:before="154"/>
        <w:ind w:left="580" w:right="0" w:firstLine="0"/>
        <w:jc w:val="left"/>
        <w:rPr>
          <w:sz w:val="20"/>
        </w:rPr>
      </w:pPr>
      <w:r>
        <w:rPr>
          <w:sz w:val="20"/>
        </w:rPr>
        <w:t>**** For [type] Gas use N for Natural, LP for Liquid Propane.</w:t>
      </w:r>
    </w:p>
    <w:p>
      <w:pPr>
        <w:pStyle w:val="BodyText"/>
      </w:pPr>
    </w:p>
    <w:p>
      <w:pPr>
        <w:pStyle w:val="BodyText"/>
      </w:pPr>
    </w:p>
    <w:p>
      <w:pPr>
        <w:pStyle w:val="BodyText"/>
      </w:pPr>
    </w:p>
    <w:p>
      <w:pPr>
        <w:pStyle w:val="BodyText"/>
      </w:pPr>
    </w:p>
    <w:p>
      <w:pPr>
        <w:pStyle w:val="BodyText"/>
      </w:pPr>
    </w:p>
    <w:p>
      <w:pPr>
        <w:pStyle w:val="BodyText"/>
      </w:pPr>
    </w:p>
    <w:p>
      <w:pPr>
        <w:spacing w:before="175"/>
        <w:ind w:left="0" w:right="174" w:firstLine="0"/>
        <w:jc w:val="center"/>
        <w:rPr>
          <w:sz w:val="20"/>
        </w:rPr>
      </w:pPr>
      <w:r>
        <w:rPr>
          <w:w w:val="99"/>
          <w:sz w:val="20"/>
        </w:rPr>
        <w:t>#</w:t>
      </w:r>
    </w:p>
    <w:sectPr>
      <w:footerReference w:type="default" r:id="rId51"/>
      <w:pgSz w:w="12240" w:h="15840"/>
      <w:pgMar w:footer="1020" w:header="724" w:top="1220" w:bottom="1220" w:left="86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ourier New">
    <w:altName w:val="Courier New"/>
    <w:charset w:val="0"/>
    <w:family w:val="modern"/>
    <w:pitch w:val="fixed"/>
  </w:font>
  <w:font w:name="Cambria Math">
    <w:altName w:val="Cambria Math"/>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8.309998pt;margin-top:742.701782pt;width:4.5pt;height:14.35pt;mso-position-horizontal-relative:page;mso-position-vertical-relative:page;z-index:-94648" type="#_x0000_t202" filled="false" stroked="false">
          <v:textbox inset="0,0,0,0">
            <w:txbxContent>
              <w:p>
                <w:pPr>
                  <w:pStyle w:val="BodyText"/>
                  <w:spacing w:before="13"/>
                  <w:ind w:left="20"/>
                </w:pPr>
                <w:r>
                  <w:rPr>
                    <w:w w:val="100"/>
                  </w:rPr>
                  <w:t>i</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950012pt;margin-top:729.981812pt;width:16.25pt;height:14.35pt;mso-position-horizontal-relative:page;mso-position-vertical-relative:page;z-index:-94624" type="#_x0000_t202" filled="false" stroked="false">
          <v:textbox inset="0,0,0,0">
            <w:txbxContent>
              <w:p>
                <w:pPr>
                  <w:pStyle w:val="BodyText"/>
                  <w:spacing w:before="13"/>
                  <w:ind w:left="40"/>
                </w:pPr>
                <w:r>
                  <w:rPr/>
                  <w:fldChar w:fldCharType="begin"/>
                </w:r>
                <w:r>
                  <w:rPr/>
                  <w:instrText> PAGE </w:instrText>
                </w:r>
                <w:r>
                  <w:rPr/>
                  <w:fldChar w:fldCharType="separate"/>
                </w:r>
                <w:r>
                  <w:rPr/>
                  <w:t>10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29993pt;margin-top:729.981812pt;width:19.2pt;height:14.35pt;mso-position-horizontal-relative:page;mso-position-vertical-relative:page;z-index:-94600" type="#_x0000_t202" filled="false" stroked="false">
          <v:textbox inset="0,0,0,0">
            <w:txbxContent>
              <w:p>
                <w:pPr>
                  <w:pStyle w:val="BodyText"/>
                  <w:spacing w:before="13"/>
                  <w:ind w:left="20"/>
                </w:pPr>
                <w:r>
                  <w:rPr/>
                  <w:t>A-1</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29993pt;margin-top:729.981812pt;width:19.2pt;height:14.35pt;mso-position-horizontal-relative:page;mso-position-vertical-relative:page;z-index:-94576" type="#_x0000_t202" filled="false" stroked="false">
          <v:textbox inset="0,0,0,0">
            <w:txbxContent>
              <w:p>
                <w:pPr>
                  <w:pStyle w:val="BodyText"/>
                  <w:spacing w:before="13"/>
                  <w:ind w:left="20"/>
                </w:pPr>
                <w:r>
                  <w:rPr/>
                  <w:t>B-1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190002pt;margin-top:729.981812pt;width:20.8pt;height:14.35pt;mso-position-horizontal-relative:page;mso-position-vertical-relative:page;z-index:-94552" type="#_x0000_t202" filled="false" stroked="false">
          <v:textbox inset="0,0,0,0">
            <w:txbxContent>
              <w:p>
                <w:pPr>
                  <w:pStyle w:val="BodyText"/>
                  <w:spacing w:before="13"/>
                  <w:ind w:left="20"/>
                </w:pPr>
                <w:r>
                  <w:rPr/>
                  <w:t>C-</w:t>
                </w:r>
                <w:r>
                  <w:rPr/>
                  <w:fldChar w:fldCharType="begin"/>
                </w:r>
                <w:r>
                  <w:rPr/>
                  <w:instrText> PAGE </w:instrText>
                </w:r>
                <w:r>
                  <w:rPr/>
                  <w:fldChar w:fldCharType="separate"/>
                </w:r>
                <w:r>
                  <w:rPr/>
                  <w:t>1</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190002pt;margin-top:729.981812pt;width:20.8pt;height:14.35pt;mso-position-horizontal-relative:page;mso-position-vertical-relative:page;z-index:-94528" type="#_x0000_t202" filled="false" stroked="false">
          <v:textbox inset="0,0,0,0">
            <w:txbxContent>
              <w:p>
                <w:pPr>
                  <w:pStyle w:val="BodyText"/>
                  <w:spacing w:before="13"/>
                  <w:ind w:left="20"/>
                </w:pPr>
                <w:r>
                  <w:rPr/>
                  <w:t>D-</w:t>
                </w:r>
                <w:r>
                  <w:rPr/>
                  <w:fldChar w:fldCharType="begin"/>
                </w:r>
                <w:r>
                  <w:rPr/>
                  <w:instrText> PAGE </w:instrText>
                </w:r>
                <w:r>
                  <w:rPr/>
                  <w:fldChar w:fldCharType="separate"/>
                </w:r>
                <w:r>
                  <w:rPr/>
                  <w:t>1</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29993pt;margin-top:729.981812pt;width:20.2pt;height:14.35pt;mso-position-horizontal-relative:page;mso-position-vertical-relative:page;z-index:-94408" type="#_x0000_t202" filled="false" stroked="false">
          <v:textbox inset="0,0,0,0">
            <w:txbxContent>
              <w:p>
                <w:pPr>
                  <w:pStyle w:val="BodyText"/>
                  <w:spacing w:before="13"/>
                  <w:ind w:left="20"/>
                </w:pPr>
                <w:r>
                  <w:rPr/>
                  <w:t>E-</w:t>
                </w:r>
                <w:r>
                  <w:rPr/>
                  <w:fldChar w:fldCharType="begin"/>
                </w:r>
                <w:r>
                  <w:rPr/>
                  <w:instrText> PAGE </w:instrText>
                </w:r>
                <w:r>
                  <w:rPr/>
                  <w:fldChar w:fldCharType="separate"/>
                </w:r>
                <w:r>
                  <w:rPr/>
                  <w:t>1</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790009pt;margin-top:729.981812pt;width:18.6pt;height:14.35pt;mso-position-horizontal-relative:page;mso-position-vertical-relative:page;z-index:-94384" type="#_x0000_t202" filled="false" stroked="false">
          <v:textbox inset="0,0,0,0">
            <w:txbxContent>
              <w:p>
                <w:pPr>
                  <w:pStyle w:val="BodyText"/>
                  <w:spacing w:before="13"/>
                  <w:ind w:left="20"/>
                </w:pPr>
                <w:r>
                  <w:rPr/>
                  <w:t>F-1</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8.540009pt;margin-top:49.605782pt;width:64.45pt;height:26.95pt;mso-position-horizontal-relative:page;mso-position-vertical-relative:page;z-index:-94720" type="#_x0000_t202" filled="false" stroked="false">
          <v:textbox inset="0,0,0,0">
            <w:txbxContent>
              <w:p>
                <w:pPr>
                  <w:pStyle w:val="BodyText"/>
                  <w:spacing w:line="252" w:lineRule="exact" w:before="13"/>
                  <w:ind w:left="31"/>
                </w:pPr>
                <w:r>
                  <w:rPr/>
                  <w:t>4100</w:t>
                </w:r>
              </w:p>
              <w:p>
                <w:pPr>
                  <w:pStyle w:val="BodyText"/>
                  <w:spacing w:line="252" w:lineRule="exact"/>
                  <w:ind w:left="20"/>
                </w:pPr>
                <w:r>
                  <w:rPr/>
                  <w:t>03 JUL 2018</w:t>
                </w:r>
              </w:p>
            </w:txbxContent>
          </v:textbox>
          <w10:wrap type="none"/>
        </v:shape>
      </w:pict>
    </w:r>
    <w:r>
      <w:rPr/>
      <w:pict>
        <v:shape style="position:absolute;margin-left:71.024002pt;margin-top:87.545784pt;width:226.35pt;height:14.35pt;mso-position-horizontal-relative:page;mso-position-vertical-relative:page;z-index:-94696" type="#_x0000_t202" filled="false" stroked="false">
          <v:textbox inset="0,0,0,0">
            <w:txbxContent>
              <w:p>
                <w:pPr>
                  <w:pStyle w:val="BodyText"/>
                  <w:spacing w:before="13"/>
                  <w:ind w:left="20"/>
                </w:pPr>
                <w:r>
                  <w:rPr/>
                  <w:t>Subj: Advanced Metering Infrastructure CSTO</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5.350006pt;margin-top:35.205780pt;width:164.9pt;height:26.95pt;mso-position-horizontal-relative:page;mso-position-vertical-relative:page;z-index:-94672" type="#_x0000_t202" filled="false" stroked="false">
          <v:textbox inset="0,0,0,0">
            <w:txbxContent>
              <w:p>
                <w:pPr>
                  <w:pStyle w:val="BodyText"/>
                  <w:spacing w:line="252" w:lineRule="exact" w:before="13"/>
                  <w:ind w:left="229"/>
                </w:pPr>
                <w:r>
                  <w:rPr/>
                  <w:t>SILC-CSTO-36-11 31 17</w:t>
                </w:r>
                <w:r>
                  <w:rPr>
                    <w:spacing w:val="-8"/>
                  </w:rPr>
                  <w:t> </w:t>
                </w:r>
                <w:r>
                  <w:rPr/>
                  <w:t>11-01</w:t>
                </w:r>
              </w:p>
              <w:p>
                <w:pPr>
                  <w:pStyle w:val="BodyText"/>
                  <w:spacing w:line="252" w:lineRule="exact"/>
                  <w:ind w:left="20"/>
                </w:pPr>
                <w:r>
                  <w:rPr/>
                  <w:t>Advanced Metering</w:t>
                </w:r>
                <w:r>
                  <w:rPr>
                    <w:spacing w:val="-7"/>
                  </w:rPr>
                  <w:t> </w:t>
                </w:r>
                <w:r>
                  <w:rPr/>
                  <w:t>Infrastructure</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72.024002pt;margin-top:124.459999pt;width:165.3pt;height:1pt;mso-position-horizontal-relative:page;mso-position-vertical-relative:page;z-index:-94504" coordorigin="1440,2489" coordsize="3306,20">
          <v:line style="position:absolute" from="1440,2502" to="4745,2502" stroked="true" strokeweight=".69552pt" strokecolor="#000000">
            <v:stroke dashstyle="solid"/>
          </v:line>
          <v:line style="position:absolute" from="1440,2498" to="4746,2498" stroked="true" strokeweight=".84pt" strokecolor="#000000">
            <v:stroke dashstyle="solid"/>
          </v:line>
          <w10:wrap type="none"/>
        </v:group>
      </w:pict>
    </w:r>
    <w:r>
      <w:rPr/>
      <w:pict>
        <v:group style="position:absolute;margin-left:316.869995pt;margin-top:124.459999pt;width:165.3pt;height:1pt;mso-position-horizontal-relative:page;mso-position-vertical-relative:page;z-index:-94480" coordorigin="6337,2489" coordsize="3306,20">
          <v:line style="position:absolute" from="6337,2502" to="9642,2502" stroked="true" strokeweight=".69552pt" strokecolor="#000000">
            <v:stroke dashstyle="solid"/>
          </v:line>
          <v:line style="position:absolute" from="6337,2498" to="9643,2498" stroked="true" strokeweight=".84pt" strokecolor="#000000">
            <v:stroke dashstyle="solid"/>
          </v:line>
          <w10:wrap type="none"/>
        </v:group>
      </w:pict>
    </w:r>
    <w:r>
      <w:rPr/>
      <w:pict>
        <v:shape style="position:absolute;margin-left:376.470001pt;margin-top:35.205780pt;width:164.65pt;height:26.95pt;mso-position-horizontal-relative:page;mso-position-vertical-relative:page;z-index:-94456" type="#_x0000_t202" filled="false" stroked="false">
          <v:textbox inset="0,0,0,0">
            <w:txbxContent>
              <w:p>
                <w:pPr>
                  <w:pStyle w:val="BodyText"/>
                  <w:spacing w:line="252" w:lineRule="exact" w:before="13"/>
                  <w:ind w:left="229"/>
                </w:pPr>
                <w:r>
                  <w:rPr/>
                  <w:t>SILC-CSTO-36-11 31 17</w:t>
                </w:r>
                <w:r>
                  <w:rPr>
                    <w:spacing w:val="-13"/>
                  </w:rPr>
                  <w:t> </w:t>
                </w:r>
                <w:r>
                  <w:rPr/>
                  <w:t>11-01</w:t>
                </w:r>
              </w:p>
              <w:p>
                <w:pPr>
                  <w:pStyle w:val="BodyText"/>
                  <w:spacing w:line="252" w:lineRule="exact"/>
                  <w:ind w:left="20"/>
                </w:pPr>
                <w:r>
                  <w:rPr/>
                  <w:t>Advanced Metering</w:t>
                </w:r>
                <w:r>
                  <w:rPr>
                    <w:spacing w:val="-8"/>
                  </w:rPr>
                  <w:t> </w:t>
                </w:r>
                <w:r>
                  <w:rPr/>
                  <w:t>Infrastructure</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76.470001pt;margin-top:35.205780pt;width:164.65pt;height:26.95pt;mso-position-horizontal-relative:page;mso-position-vertical-relative:page;z-index:-94432" type="#_x0000_t202" filled="false" stroked="false">
          <v:textbox inset="0,0,0,0">
            <w:txbxContent>
              <w:p>
                <w:pPr>
                  <w:pStyle w:val="BodyText"/>
                  <w:spacing w:line="252" w:lineRule="exact" w:before="13"/>
                  <w:ind w:left="229"/>
                </w:pPr>
                <w:r>
                  <w:rPr/>
                  <w:t>SILC-CSTO-36-11 31 17</w:t>
                </w:r>
                <w:r>
                  <w:rPr>
                    <w:spacing w:val="-13"/>
                  </w:rPr>
                  <w:t> </w:t>
                </w:r>
                <w:r>
                  <w:rPr/>
                  <w:t>11-01</w:t>
                </w:r>
              </w:p>
              <w:p>
                <w:pPr>
                  <w:pStyle w:val="BodyText"/>
                  <w:spacing w:line="252" w:lineRule="exact"/>
                  <w:ind w:left="20"/>
                </w:pPr>
                <w:r>
                  <w:rPr/>
                  <w:t>Advanced Metering</w:t>
                </w:r>
                <w:r>
                  <w:rPr>
                    <w:spacing w:val="-8"/>
                  </w:rPr>
                  <w:t> </w:t>
                </w:r>
                <w:r>
                  <w:rPr/>
                  <w:t>Infrastructure</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300" w:hanging="360"/>
        <w:jc w:val="left"/>
      </w:pPr>
      <w:rPr>
        <w:rFonts w:hint="default" w:ascii="Arial" w:hAnsi="Arial" w:eastAsia="Arial" w:cs="Arial"/>
        <w:spacing w:val="-1"/>
        <w:w w:val="100"/>
        <w:sz w:val="22"/>
        <w:szCs w:val="22"/>
        <w:lang w:val="en-us" w:eastAsia="en-us" w:bidi="en-us"/>
      </w:rPr>
    </w:lvl>
    <w:lvl w:ilvl="1">
      <w:start w:val="1"/>
      <w:numFmt w:val="lowerLetter"/>
      <w:lvlText w:val="%2."/>
      <w:lvlJc w:val="left"/>
      <w:pPr>
        <w:ind w:left="1660" w:hanging="360"/>
        <w:jc w:val="left"/>
      </w:pPr>
      <w:rPr>
        <w:rFonts w:hint="default" w:ascii="Arial" w:hAnsi="Arial" w:eastAsia="Arial" w:cs="Arial"/>
        <w:spacing w:val="-1"/>
        <w:w w:val="100"/>
        <w:sz w:val="22"/>
        <w:szCs w:val="22"/>
        <w:lang w:val="en-us" w:eastAsia="en-us" w:bidi="en-us"/>
      </w:rPr>
    </w:lvl>
    <w:lvl w:ilvl="2">
      <w:start w:val="0"/>
      <w:numFmt w:val="bullet"/>
      <w:lvlText w:val="•"/>
      <w:lvlJc w:val="left"/>
      <w:pPr>
        <w:ind w:left="2664" w:hanging="360"/>
      </w:pPr>
      <w:rPr>
        <w:rFonts w:hint="default"/>
        <w:lang w:val="en-us" w:eastAsia="en-us" w:bidi="en-us"/>
      </w:rPr>
    </w:lvl>
    <w:lvl w:ilvl="3">
      <w:start w:val="0"/>
      <w:numFmt w:val="bullet"/>
      <w:lvlText w:val="•"/>
      <w:lvlJc w:val="left"/>
      <w:pPr>
        <w:ind w:left="3668" w:hanging="360"/>
      </w:pPr>
      <w:rPr>
        <w:rFonts w:hint="default"/>
        <w:lang w:val="en-us" w:eastAsia="en-us" w:bidi="en-us"/>
      </w:rPr>
    </w:lvl>
    <w:lvl w:ilvl="4">
      <w:start w:val="0"/>
      <w:numFmt w:val="bullet"/>
      <w:lvlText w:val="•"/>
      <w:lvlJc w:val="left"/>
      <w:pPr>
        <w:ind w:left="4673" w:hanging="360"/>
      </w:pPr>
      <w:rPr>
        <w:rFonts w:hint="default"/>
        <w:lang w:val="en-us" w:eastAsia="en-us" w:bidi="en-us"/>
      </w:rPr>
    </w:lvl>
    <w:lvl w:ilvl="5">
      <w:start w:val="0"/>
      <w:numFmt w:val="bullet"/>
      <w:lvlText w:val="•"/>
      <w:lvlJc w:val="left"/>
      <w:pPr>
        <w:ind w:left="5677" w:hanging="360"/>
      </w:pPr>
      <w:rPr>
        <w:rFonts w:hint="default"/>
        <w:lang w:val="en-us" w:eastAsia="en-us" w:bidi="en-us"/>
      </w:rPr>
    </w:lvl>
    <w:lvl w:ilvl="6">
      <w:start w:val="0"/>
      <w:numFmt w:val="bullet"/>
      <w:lvlText w:val="•"/>
      <w:lvlJc w:val="left"/>
      <w:pPr>
        <w:ind w:left="6682" w:hanging="360"/>
      </w:pPr>
      <w:rPr>
        <w:rFonts w:hint="default"/>
        <w:lang w:val="en-us" w:eastAsia="en-us" w:bidi="en-us"/>
      </w:rPr>
    </w:lvl>
    <w:lvl w:ilvl="7">
      <w:start w:val="0"/>
      <w:numFmt w:val="bullet"/>
      <w:lvlText w:val="•"/>
      <w:lvlJc w:val="left"/>
      <w:pPr>
        <w:ind w:left="7686" w:hanging="360"/>
      </w:pPr>
      <w:rPr>
        <w:rFonts w:hint="default"/>
        <w:lang w:val="en-us" w:eastAsia="en-us" w:bidi="en-us"/>
      </w:rPr>
    </w:lvl>
    <w:lvl w:ilvl="8">
      <w:start w:val="0"/>
      <w:numFmt w:val="bullet"/>
      <w:lvlText w:val="•"/>
      <w:lvlJc w:val="left"/>
      <w:pPr>
        <w:ind w:left="8691" w:hanging="360"/>
      </w:pPr>
      <w:rPr>
        <w:rFonts w:hint="default"/>
        <w:lang w:val="en-us" w:eastAsia="en-us" w:bidi="en-us"/>
      </w:rPr>
    </w:lvl>
  </w:abstractNum>
  <w:abstractNum w:abstractNumId="24">
    <w:multiLevelType w:val="hybridMultilevel"/>
    <w:lvl w:ilvl="0">
      <w:start w:val="4"/>
      <w:numFmt w:val="decimal"/>
      <w:lvlText w:val="%1"/>
      <w:lvlJc w:val="left"/>
      <w:pPr>
        <w:ind w:left="1326" w:hanging="387"/>
        <w:jc w:val="left"/>
      </w:pPr>
      <w:rPr>
        <w:rFonts w:hint="default"/>
        <w:lang w:val="en-us" w:eastAsia="en-us" w:bidi="en-us"/>
      </w:rPr>
    </w:lvl>
    <w:lvl w:ilvl="1">
      <w:start w:val="1"/>
      <w:numFmt w:val="decimal"/>
      <w:lvlText w:val="%1.%2"/>
      <w:lvlJc w:val="left"/>
      <w:pPr>
        <w:ind w:left="1326" w:hanging="387"/>
        <w:jc w:val="left"/>
      </w:pPr>
      <w:rPr>
        <w:rFonts w:hint="default" w:ascii="Arial" w:hAnsi="Arial" w:eastAsia="Arial" w:cs="Arial"/>
        <w:b/>
        <w:bCs/>
        <w:w w:val="100"/>
        <w:sz w:val="22"/>
        <w:szCs w:val="22"/>
        <w:lang w:val="en-us" w:eastAsia="en-us" w:bidi="en-us"/>
      </w:rPr>
    </w:lvl>
    <w:lvl w:ilvl="2">
      <w:start w:val="0"/>
      <w:numFmt w:val="bullet"/>
      <w:lvlText w:val=""/>
      <w:lvlJc w:val="left"/>
      <w:pPr>
        <w:ind w:left="1300" w:hanging="269"/>
      </w:pPr>
      <w:rPr>
        <w:rFonts w:hint="default" w:ascii="Symbol" w:hAnsi="Symbol" w:eastAsia="Symbol" w:cs="Symbol"/>
        <w:w w:val="100"/>
        <w:sz w:val="22"/>
        <w:szCs w:val="22"/>
        <w:lang w:val="en-us" w:eastAsia="en-us" w:bidi="en-us"/>
      </w:rPr>
    </w:lvl>
    <w:lvl w:ilvl="3">
      <w:start w:val="0"/>
      <w:numFmt w:val="bullet"/>
      <w:lvlText w:val="o"/>
      <w:lvlJc w:val="left"/>
      <w:pPr>
        <w:ind w:left="1660" w:hanging="360"/>
      </w:pPr>
      <w:rPr>
        <w:rFonts w:hint="default" w:ascii="Courier New" w:hAnsi="Courier New" w:eastAsia="Courier New" w:cs="Courier New"/>
        <w:w w:val="100"/>
        <w:sz w:val="22"/>
        <w:szCs w:val="22"/>
        <w:lang w:val="en-us" w:eastAsia="en-us" w:bidi="en-us"/>
      </w:rPr>
    </w:lvl>
    <w:lvl w:ilvl="4">
      <w:start w:val="0"/>
      <w:numFmt w:val="bullet"/>
      <w:lvlText w:val="•"/>
      <w:lvlJc w:val="left"/>
      <w:pPr>
        <w:ind w:left="3920" w:hanging="360"/>
      </w:pPr>
      <w:rPr>
        <w:rFonts w:hint="default"/>
        <w:lang w:val="en-us" w:eastAsia="en-us" w:bidi="en-us"/>
      </w:rPr>
    </w:lvl>
    <w:lvl w:ilvl="5">
      <w:start w:val="0"/>
      <w:numFmt w:val="bullet"/>
      <w:lvlText w:val="•"/>
      <w:lvlJc w:val="left"/>
      <w:pPr>
        <w:ind w:left="5050" w:hanging="360"/>
      </w:pPr>
      <w:rPr>
        <w:rFonts w:hint="default"/>
        <w:lang w:val="en-us" w:eastAsia="en-us" w:bidi="en-us"/>
      </w:rPr>
    </w:lvl>
    <w:lvl w:ilvl="6">
      <w:start w:val="0"/>
      <w:numFmt w:val="bullet"/>
      <w:lvlText w:val="•"/>
      <w:lvlJc w:val="left"/>
      <w:pPr>
        <w:ind w:left="6180" w:hanging="360"/>
      </w:pPr>
      <w:rPr>
        <w:rFonts w:hint="default"/>
        <w:lang w:val="en-us" w:eastAsia="en-us" w:bidi="en-us"/>
      </w:rPr>
    </w:lvl>
    <w:lvl w:ilvl="7">
      <w:start w:val="0"/>
      <w:numFmt w:val="bullet"/>
      <w:lvlText w:val="•"/>
      <w:lvlJc w:val="left"/>
      <w:pPr>
        <w:ind w:left="7310" w:hanging="360"/>
      </w:pPr>
      <w:rPr>
        <w:rFonts w:hint="default"/>
        <w:lang w:val="en-us" w:eastAsia="en-us" w:bidi="en-us"/>
      </w:rPr>
    </w:lvl>
    <w:lvl w:ilvl="8">
      <w:start w:val="0"/>
      <w:numFmt w:val="bullet"/>
      <w:lvlText w:val="•"/>
      <w:lvlJc w:val="left"/>
      <w:pPr>
        <w:ind w:left="8440" w:hanging="360"/>
      </w:pPr>
      <w:rPr>
        <w:rFonts w:hint="default"/>
        <w:lang w:val="en-us" w:eastAsia="en-us" w:bidi="en-us"/>
      </w:rPr>
    </w:lvl>
  </w:abstractNum>
  <w:abstractNum w:abstractNumId="23">
    <w:multiLevelType w:val="hybridMultilevel"/>
    <w:lvl w:ilvl="0">
      <w:start w:val="1"/>
      <w:numFmt w:val="decimal"/>
      <w:lvlText w:val="%1."/>
      <w:lvlJc w:val="left"/>
      <w:pPr>
        <w:ind w:left="940" w:hanging="360"/>
        <w:jc w:val="left"/>
      </w:pPr>
      <w:rPr>
        <w:rFonts w:hint="default" w:ascii="Arial" w:hAnsi="Arial" w:eastAsia="Arial" w:cs="Arial"/>
        <w:b/>
        <w:bCs/>
        <w:spacing w:val="-8"/>
        <w:w w:val="99"/>
        <w:sz w:val="24"/>
        <w:szCs w:val="24"/>
        <w:lang w:val="en-us" w:eastAsia="en-us" w:bidi="en-us"/>
      </w:rPr>
    </w:lvl>
    <w:lvl w:ilvl="1">
      <w:start w:val="0"/>
      <w:numFmt w:val="bullet"/>
      <w:lvlText w:val=""/>
      <w:lvlJc w:val="left"/>
      <w:pPr>
        <w:ind w:left="1300" w:hanging="360"/>
      </w:pPr>
      <w:rPr>
        <w:rFonts w:hint="default" w:ascii="Symbol" w:hAnsi="Symbol" w:eastAsia="Symbol" w:cs="Symbol"/>
        <w:w w:val="100"/>
        <w:sz w:val="22"/>
        <w:szCs w:val="22"/>
        <w:lang w:val="en-us" w:eastAsia="en-us" w:bidi="en-us"/>
      </w:rPr>
    </w:lvl>
    <w:lvl w:ilvl="2">
      <w:start w:val="0"/>
      <w:numFmt w:val="bullet"/>
      <w:lvlText w:val="o"/>
      <w:lvlJc w:val="left"/>
      <w:pPr>
        <w:ind w:left="2020" w:hanging="360"/>
      </w:pPr>
      <w:rPr>
        <w:rFonts w:hint="default"/>
        <w:w w:val="100"/>
        <w:lang w:val="en-us" w:eastAsia="en-us" w:bidi="en-us"/>
      </w:rPr>
    </w:lvl>
    <w:lvl w:ilvl="3">
      <w:start w:val="0"/>
      <w:numFmt w:val="bullet"/>
      <w:lvlText w:val="•"/>
      <w:lvlJc w:val="left"/>
      <w:pPr>
        <w:ind w:left="3105" w:hanging="360"/>
      </w:pPr>
      <w:rPr>
        <w:rFonts w:hint="default"/>
        <w:lang w:val="en-us" w:eastAsia="en-us" w:bidi="en-us"/>
      </w:rPr>
    </w:lvl>
    <w:lvl w:ilvl="4">
      <w:start w:val="0"/>
      <w:numFmt w:val="bullet"/>
      <w:lvlText w:val="•"/>
      <w:lvlJc w:val="left"/>
      <w:pPr>
        <w:ind w:left="4190" w:hanging="360"/>
      </w:pPr>
      <w:rPr>
        <w:rFonts w:hint="default"/>
        <w:lang w:val="en-us" w:eastAsia="en-us" w:bidi="en-us"/>
      </w:rPr>
    </w:lvl>
    <w:lvl w:ilvl="5">
      <w:start w:val="0"/>
      <w:numFmt w:val="bullet"/>
      <w:lvlText w:val="•"/>
      <w:lvlJc w:val="left"/>
      <w:pPr>
        <w:ind w:left="52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445" w:hanging="360"/>
      </w:pPr>
      <w:rPr>
        <w:rFonts w:hint="default"/>
        <w:lang w:val="en-us" w:eastAsia="en-us" w:bidi="en-us"/>
      </w:rPr>
    </w:lvl>
    <w:lvl w:ilvl="8">
      <w:start w:val="0"/>
      <w:numFmt w:val="bullet"/>
      <w:lvlText w:val="•"/>
      <w:lvlJc w:val="left"/>
      <w:pPr>
        <w:ind w:left="8530" w:hanging="360"/>
      </w:pPr>
      <w:rPr>
        <w:rFonts w:hint="default"/>
        <w:lang w:val="en-us" w:eastAsia="en-us" w:bidi="en-us"/>
      </w:rPr>
    </w:lvl>
  </w:abstractNum>
  <w:abstractNum w:abstractNumId="22">
    <w:multiLevelType w:val="hybridMultilevel"/>
    <w:lvl w:ilvl="0">
      <w:start w:val="1"/>
      <w:numFmt w:val="decimal"/>
      <w:lvlText w:val="%1."/>
      <w:lvlJc w:val="left"/>
      <w:pPr>
        <w:ind w:left="580" w:hanging="250"/>
        <w:jc w:val="left"/>
      </w:pPr>
      <w:rPr>
        <w:rFonts w:hint="default" w:ascii="Arial" w:hAnsi="Arial" w:eastAsia="Arial" w:cs="Arial"/>
        <w:w w:val="100"/>
        <w:sz w:val="22"/>
        <w:szCs w:val="22"/>
        <w:lang w:val="en-us" w:eastAsia="en-us" w:bidi="en-us"/>
      </w:rPr>
    </w:lvl>
    <w:lvl w:ilvl="1">
      <w:start w:val="0"/>
      <w:numFmt w:val="bullet"/>
      <w:lvlText w:val=""/>
      <w:lvlJc w:val="left"/>
      <w:pPr>
        <w:ind w:left="1300" w:hanging="360"/>
      </w:pPr>
      <w:rPr>
        <w:rFonts w:hint="default" w:ascii="Symbol" w:hAnsi="Symbol" w:eastAsia="Symbol" w:cs="Symbol"/>
        <w:w w:val="100"/>
        <w:sz w:val="22"/>
        <w:szCs w:val="22"/>
        <w:lang w:val="en-us" w:eastAsia="en-us" w:bidi="en-us"/>
      </w:rPr>
    </w:lvl>
    <w:lvl w:ilvl="2">
      <w:start w:val="0"/>
      <w:numFmt w:val="bullet"/>
      <w:lvlText w:val="o"/>
      <w:lvlJc w:val="left"/>
      <w:pPr>
        <w:ind w:left="2020" w:hanging="360"/>
      </w:pPr>
      <w:rPr>
        <w:rFonts w:hint="default" w:ascii="Courier New" w:hAnsi="Courier New" w:eastAsia="Courier New" w:cs="Courier New"/>
        <w:w w:val="100"/>
        <w:sz w:val="22"/>
        <w:szCs w:val="22"/>
        <w:lang w:val="en-us" w:eastAsia="en-us" w:bidi="en-us"/>
      </w:rPr>
    </w:lvl>
    <w:lvl w:ilvl="3">
      <w:start w:val="0"/>
      <w:numFmt w:val="bullet"/>
      <w:lvlText w:val="•"/>
      <w:lvlJc w:val="left"/>
      <w:pPr>
        <w:ind w:left="2020" w:hanging="360"/>
      </w:pPr>
      <w:rPr>
        <w:rFonts w:hint="default"/>
        <w:lang w:val="en-us" w:eastAsia="en-us" w:bidi="en-us"/>
      </w:rPr>
    </w:lvl>
    <w:lvl w:ilvl="4">
      <w:start w:val="0"/>
      <w:numFmt w:val="bullet"/>
      <w:lvlText w:val="•"/>
      <w:lvlJc w:val="left"/>
      <w:pPr>
        <w:ind w:left="3260" w:hanging="360"/>
      </w:pPr>
      <w:rPr>
        <w:rFonts w:hint="default"/>
        <w:lang w:val="en-us" w:eastAsia="en-us" w:bidi="en-us"/>
      </w:rPr>
    </w:lvl>
    <w:lvl w:ilvl="5">
      <w:start w:val="0"/>
      <w:numFmt w:val="bullet"/>
      <w:lvlText w:val="•"/>
      <w:lvlJc w:val="left"/>
      <w:pPr>
        <w:ind w:left="4500" w:hanging="360"/>
      </w:pPr>
      <w:rPr>
        <w:rFonts w:hint="default"/>
        <w:lang w:val="en-us" w:eastAsia="en-us" w:bidi="en-us"/>
      </w:rPr>
    </w:lvl>
    <w:lvl w:ilvl="6">
      <w:start w:val="0"/>
      <w:numFmt w:val="bullet"/>
      <w:lvlText w:val="•"/>
      <w:lvlJc w:val="left"/>
      <w:pPr>
        <w:ind w:left="5740" w:hanging="360"/>
      </w:pPr>
      <w:rPr>
        <w:rFonts w:hint="default"/>
        <w:lang w:val="en-us" w:eastAsia="en-us" w:bidi="en-us"/>
      </w:rPr>
    </w:lvl>
    <w:lvl w:ilvl="7">
      <w:start w:val="0"/>
      <w:numFmt w:val="bullet"/>
      <w:lvlText w:val="•"/>
      <w:lvlJc w:val="left"/>
      <w:pPr>
        <w:ind w:left="6980" w:hanging="360"/>
      </w:pPr>
      <w:rPr>
        <w:rFonts w:hint="default"/>
        <w:lang w:val="en-us" w:eastAsia="en-us" w:bidi="en-us"/>
      </w:rPr>
    </w:lvl>
    <w:lvl w:ilvl="8">
      <w:start w:val="0"/>
      <w:numFmt w:val="bullet"/>
      <w:lvlText w:val="•"/>
      <w:lvlJc w:val="left"/>
      <w:pPr>
        <w:ind w:left="8220" w:hanging="360"/>
      </w:pPr>
      <w:rPr>
        <w:rFonts w:hint="default"/>
        <w:lang w:val="en-us" w:eastAsia="en-us" w:bidi="en-us"/>
      </w:rPr>
    </w:lvl>
  </w:abstractNum>
  <w:abstractNum w:abstractNumId="21">
    <w:multiLevelType w:val="hybridMultilevel"/>
    <w:lvl w:ilvl="0">
      <w:start w:val="0"/>
      <w:numFmt w:val="bullet"/>
      <w:lvlText w:val="•"/>
      <w:lvlJc w:val="left"/>
      <w:pPr>
        <w:ind w:left="107" w:hanging="126"/>
      </w:pPr>
      <w:rPr>
        <w:rFonts w:hint="default" w:ascii="Arial" w:hAnsi="Arial" w:eastAsia="Arial" w:cs="Arial"/>
        <w:w w:val="99"/>
        <w:sz w:val="20"/>
        <w:szCs w:val="20"/>
        <w:lang w:val="en-us" w:eastAsia="en-us" w:bidi="en-us"/>
      </w:rPr>
    </w:lvl>
    <w:lvl w:ilvl="1">
      <w:start w:val="0"/>
      <w:numFmt w:val="bullet"/>
      <w:lvlText w:val="•"/>
      <w:lvlJc w:val="left"/>
      <w:pPr>
        <w:ind w:left="1036" w:hanging="126"/>
      </w:pPr>
      <w:rPr>
        <w:rFonts w:hint="default"/>
        <w:lang w:val="en-us" w:eastAsia="en-us" w:bidi="en-us"/>
      </w:rPr>
    </w:lvl>
    <w:lvl w:ilvl="2">
      <w:start w:val="0"/>
      <w:numFmt w:val="bullet"/>
      <w:lvlText w:val="•"/>
      <w:lvlJc w:val="left"/>
      <w:pPr>
        <w:ind w:left="1972" w:hanging="126"/>
      </w:pPr>
      <w:rPr>
        <w:rFonts w:hint="default"/>
        <w:lang w:val="en-us" w:eastAsia="en-us" w:bidi="en-us"/>
      </w:rPr>
    </w:lvl>
    <w:lvl w:ilvl="3">
      <w:start w:val="0"/>
      <w:numFmt w:val="bullet"/>
      <w:lvlText w:val="•"/>
      <w:lvlJc w:val="left"/>
      <w:pPr>
        <w:ind w:left="2908" w:hanging="126"/>
      </w:pPr>
      <w:rPr>
        <w:rFonts w:hint="default"/>
        <w:lang w:val="en-us" w:eastAsia="en-us" w:bidi="en-us"/>
      </w:rPr>
    </w:lvl>
    <w:lvl w:ilvl="4">
      <w:start w:val="0"/>
      <w:numFmt w:val="bullet"/>
      <w:lvlText w:val="•"/>
      <w:lvlJc w:val="left"/>
      <w:pPr>
        <w:ind w:left="3844" w:hanging="126"/>
      </w:pPr>
      <w:rPr>
        <w:rFonts w:hint="default"/>
        <w:lang w:val="en-us" w:eastAsia="en-us" w:bidi="en-us"/>
      </w:rPr>
    </w:lvl>
    <w:lvl w:ilvl="5">
      <w:start w:val="0"/>
      <w:numFmt w:val="bullet"/>
      <w:lvlText w:val="•"/>
      <w:lvlJc w:val="left"/>
      <w:pPr>
        <w:ind w:left="4780" w:hanging="126"/>
      </w:pPr>
      <w:rPr>
        <w:rFonts w:hint="default"/>
        <w:lang w:val="en-us" w:eastAsia="en-us" w:bidi="en-us"/>
      </w:rPr>
    </w:lvl>
    <w:lvl w:ilvl="6">
      <w:start w:val="0"/>
      <w:numFmt w:val="bullet"/>
      <w:lvlText w:val="•"/>
      <w:lvlJc w:val="left"/>
      <w:pPr>
        <w:ind w:left="5716" w:hanging="126"/>
      </w:pPr>
      <w:rPr>
        <w:rFonts w:hint="default"/>
        <w:lang w:val="en-us" w:eastAsia="en-us" w:bidi="en-us"/>
      </w:rPr>
    </w:lvl>
    <w:lvl w:ilvl="7">
      <w:start w:val="0"/>
      <w:numFmt w:val="bullet"/>
      <w:lvlText w:val="•"/>
      <w:lvlJc w:val="left"/>
      <w:pPr>
        <w:ind w:left="6652" w:hanging="126"/>
      </w:pPr>
      <w:rPr>
        <w:rFonts w:hint="default"/>
        <w:lang w:val="en-us" w:eastAsia="en-us" w:bidi="en-us"/>
      </w:rPr>
    </w:lvl>
    <w:lvl w:ilvl="8">
      <w:start w:val="0"/>
      <w:numFmt w:val="bullet"/>
      <w:lvlText w:val="•"/>
      <w:lvlJc w:val="left"/>
      <w:pPr>
        <w:ind w:left="7588" w:hanging="126"/>
      </w:pPr>
      <w:rPr>
        <w:rFonts w:hint="default"/>
        <w:lang w:val="en-us" w:eastAsia="en-us" w:bidi="en-us"/>
      </w:rPr>
    </w:lvl>
  </w:abstractNum>
  <w:abstractNum w:abstractNumId="20">
    <w:multiLevelType w:val="hybridMultilevel"/>
    <w:lvl w:ilvl="0">
      <w:start w:val="0"/>
      <w:numFmt w:val="bullet"/>
      <w:lvlText w:val=""/>
      <w:lvlJc w:val="left"/>
      <w:pPr>
        <w:ind w:left="1300" w:hanging="360"/>
      </w:pPr>
      <w:rPr>
        <w:rFonts w:hint="default" w:ascii="Symbol" w:hAnsi="Symbol" w:eastAsia="Symbol" w:cs="Symbol"/>
        <w:w w:val="100"/>
        <w:sz w:val="22"/>
        <w:szCs w:val="22"/>
        <w:lang w:val="en-us" w:eastAsia="en-us" w:bidi="en-us"/>
      </w:rPr>
    </w:lvl>
    <w:lvl w:ilvl="1">
      <w:start w:val="0"/>
      <w:numFmt w:val="bullet"/>
      <w:lvlText w:val="•"/>
      <w:lvlJc w:val="left"/>
      <w:pPr>
        <w:ind w:left="2240" w:hanging="360"/>
      </w:pPr>
      <w:rPr>
        <w:rFonts w:hint="default"/>
        <w:lang w:val="en-us" w:eastAsia="en-us" w:bidi="en-us"/>
      </w:rPr>
    </w:lvl>
    <w:lvl w:ilvl="2">
      <w:start w:val="0"/>
      <w:numFmt w:val="bullet"/>
      <w:lvlText w:val="•"/>
      <w:lvlJc w:val="left"/>
      <w:pPr>
        <w:ind w:left="3180" w:hanging="360"/>
      </w:pPr>
      <w:rPr>
        <w:rFonts w:hint="default"/>
        <w:lang w:val="en-us" w:eastAsia="en-us" w:bidi="en-us"/>
      </w:rPr>
    </w:lvl>
    <w:lvl w:ilvl="3">
      <w:start w:val="0"/>
      <w:numFmt w:val="bullet"/>
      <w:lvlText w:val="•"/>
      <w:lvlJc w:val="left"/>
      <w:pPr>
        <w:ind w:left="4120" w:hanging="360"/>
      </w:pPr>
      <w:rPr>
        <w:rFonts w:hint="default"/>
        <w:lang w:val="en-us" w:eastAsia="en-us" w:bidi="en-us"/>
      </w:rPr>
    </w:lvl>
    <w:lvl w:ilvl="4">
      <w:start w:val="0"/>
      <w:numFmt w:val="bullet"/>
      <w:lvlText w:val="•"/>
      <w:lvlJc w:val="left"/>
      <w:pPr>
        <w:ind w:left="5060"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40" w:hanging="360"/>
      </w:pPr>
      <w:rPr>
        <w:rFonts w:hint="default"/>
        <w:lang w:val="en-us" w:eastAsia="en-us" w:bidi="en-us"/>
      </w:rPr>
    </w:lvl>
    <w:lvl w:ilvl="7">
      <w:start w:val="0"/>
      <w:numFmt w:val="bullet"/>
      <w:lvlText w:val="•"/>
      <w:lvlJc w:val="left"/>
      <w:pPr>
        <w:ind w:left="7880" w:hanging="360"/>
      </w:pPr>
      <w:rPr>
        <w:rFonts w:hint="default"/>
        <w:lang w:val="en-us" w:eastAsia="en-us" w:bidi="en-us"/>
      </w:rPr>
    </w:lvl>
    <w:lvl w:ilvl="8">
      <w:start w:val="0"/>
      <w:numFmt w:val="bullet"/>
      <w:lvlText w:val="•"/>
      <w:lvlJc w:val="left"/>
      <w:pPr>
        <w:ind w:left="8820" w:hanging="360"/>
      </w:pPr>
      <w:rPr>
        <w:rFonts w:hint="default"/>
        <w:lang w:val="en-us" w:eastAsia="en-us" w:bidi="en-us"/>
      </w:rPr>
    </w:lvl>
  </w:abstractNum>
  <w:abstractNum w:abstractNumId="19">
    <w:multiLevelType w:val="hybridMultilevel"/>
    <w:lvl w:ilvl="0">
      <w:start w:val="5"/>
      <w:numFmt w:val="decimal"/>
      <w:lvlText w:val="%1"/>
      <w:lvlJc w:val="left"/>
      <w:pPr>
        <w:ind w:left="1156" w:hanging="576"/>
        <w:jc w:val="left"/>
      </w:pPr>
      <w:rPr>
        <w:rFonts w:hint="default"/>
        <w:lang w:val="en-us" w:eastAsia="en-us" w:bidi="en-us"/>
      </w:rPr>
    </w:lvl>
    <w:lvl w:ilvl="1">
      <w:start w:val="1"/>
      <w:numFmt w:val="decimal"/>
      <w:lvlText w:val="%1.%2"/>
      <w:lvlJc w:val="left"/>
      <w:pPr>
        <w:ind w:left="1156" w:hanging="576"/>
        <w:jc w:val="left"/>
      </w:pPr>
      <w:rPr>
        <w:rFonts w:hint="default" w:ascii="Arial" w:hAnsi="Arial" w:eastAsia="Arial" w:cs="Arial"/>
        <w:b/>
        <w:bCs/>
        <w:spacing w:val="-1"/>
        <w:w w:val="99"/>
        <w:sz w:val="26"/>
        <w:szCs w:val="26"/>
        <w:lang w:val="en-us" w:eastAsia="en-us" w:bidi="en-us"/>
      </w:rPr>
    </w:lvl>
    <w:lvl w:ilvl="2">
      <w:start w:val="1"/>
      <w:numFmt w:val="decimal"/>
      <w:lvlText w:val="%1.%2.%3"/>
      <w:lvlJc w:val="left"/>
      <w:pPr>
        <w:ind w:left="1132" w:hanging="552"/>
        <w:jc w:val="left"/>
      </w:pPr>
      <w:rPr>
        <w:rFonts w:hint="default" w:ascii="Arial" w:hAnsi="Arial" w:eastAsia="Arial" w:cs="Arial"/>
        <w:b/>
        <w:bCs/>
        <w:w w:val="100"/>
        <w:sz w:val="22"/>
        <w:szCs w:val="22"/>
        <w:lang w:val="en-us" w:eastAsia="en-us" w:bidi="en-us"/>
      </w:rPr>
    </w:lvl>
    <w:lvl w:ilvl="3">
      <w:start w:val="1"/>
      <w:numFmt w:val="upperLetter"/>
      <w:lvlText w:val="%4."/>
      <w:lvlJc w:val="left"/>
      <w:pPr>
        <w:ind w:left="1300" w:hanging="360"/>
        <w:jc w:val="left"/>
      </w:pPr>
      <w:rPr>
        <w:rFonts w:hint="default" w:ascii="Arial" w:hAnsi="Arial" w:eastAsia="Arial" w:cs="Arial"/>
        <w:spacing w:val="-1"/>
        <w:w w:val="100"/>
        <w:sz w:val="22"/>
        <w:szCs w:val="22"/>
        <w:lang w:val="en-us" w:eastAsia="en-us" w:bidi="en-us"/>
      </w:rPr>
    </w:lvl>
    <w:lvl w:ilvl="4">
      <w:start w:val="0"/>
      <w:numFmt w:val="bullet"/>
      <w:lvlText w:val="•"/>
      <w:lvlJc w:val="left"/>
      <w:pPr>
        <w:ind w:left="3650" w:hanging="360"/>
      </w:pPr>
      <w:rPr>
        <w:rFonts w:hint="default"/>
        <w:lang w:val="en-us" w:eastAsia="en-us" w:bidi="en-us"/>
      </w:rPr>
    </w:lvl>
    <w:lvl w:ilvl="5">
      <w:start w:val="0"/>
      <w:numFmt w:val="bullet"/>
      <w:lvlText w:val="•"/>
      <w:lvlJc w:val="left"/>
      <w:pPr>
        <w:ind w:left="4825" w:hanging="360"/>
      </w:pPr>
      <w:rPr>
        <w:rFonts w:hint="default"/>
        <w:lang w:val="en-us" w:eastAsia="en-us" w:bidi="en-us"/>
      </w:rPr>
    </w:lvl>
    <w:lvl w:ilvl="6">
      <w:start w:val="0"/>
      <w:numFmt w:val="bullet"/>
      <w:lvlText w:val="•"/>
      <w:lvlJc w:val="left"/>
      <w:pPr>
        <w:ind w:left="6000" w:hanging="360"/>
      </w:pPr>
      <w:rPr>
        <w:rFonts w:hint="default"/>
        <w:lang w:val="en-us" w:eastAsia="en-us" w:bidi="en-us"/>
      </w:rPr>
    </w:lvl>
    <w:lvl w:ilvl="7">
      <w:start w:val="0"/>
      <w:numFmt w:val="bullet"/>
      <w:lvlText w:val="•"/>
      <w:lvlJc w:val="left"/>
      <w:pPr>
        <w:ind w:left="7175" w:hanging="360"/>
      </w:pPr>
      <w:rPr>
        <w:rFonts w:hint="default"/>
        <w:lang w:val="en-us" w:eastAsia="en-us" w:bidi="en-us"/>
      </w:rPr>
    </w:lvl>
    <w:lvl w:ilvl="8">
      <w:start w:val="0"/>
      <w:numFmt w:val="bullet"/>
      <w:lvlText w:val="•"/>
      <w:lvlJc w:val="left"/>
      <w:pPr>
        <w:ind w:left="8350" w:hanging="360"/>
      </w:pPr>
      <w:rPr>
        <w:rFonts w:hint="default"/>
        <w:lang w:val="en-us" w:eastAsia="en-us" w:bidi="en-us"/>
      </w:rPr>
    </w:lvl>
  </w:abstractNum>
  <w:abstractNum w:abstractNumId="18">
    <w:multiLevelType w:val="hybridMultilevel"/>
    <w:lvl w:ilvl="0">
      <w:start w:val="4"/>
      <w:numFmt w:val="decimal"/>
      <w:lvlText w:val="%1"/>
      <w:lvlJc w:val="left"/>
      <w:pPr>
        <w:ind w:left="1444" w:hanging="864"/>
        <w:jc w:val="left"/>
      </w:pPr>
      <w:rPr>
        <w:rFonts w:hint="default"/>
        <w:lang w:val="en-us" w:eastAsia="en-us" w:bidi="en-us"/>
      </w:rPr>
    </w:lvl>
    <w:lvl w:ilvl="1">
      <w:start w:val="3"/>
      <w:numFmt w:val="decimal"/>
      <w:lvlText w:val="%1.%2"/>
      <w:lvlJc w:val="left"/>
      <w:pPr>
        <w:ind w:left="1444" w:hanging="864"/>
        <w:jc w:val="left"/>
      </w:pPr>
      <w:rPr>
        <w:rFonts w:hint="default"/>
        <w:lang w:val="en-us" w:eastAsia="en-us" w:bidi="en-us"/>
      </w:rPr>
    </w:lvl>
    <w:lvl w:ilvl="2">
      <w:start w:val="1"/>
      <w:numFmt w:val="decimal"/>
      <w:lvlText w:val="%1.%2.%3"/>
      <w:lvlJc w:val="left"/>
      <w:pPr>
        <w:ind w:left="1444" w:hanging="864"/>
        <w:jc w:val="left"/>
      </w:pPr>
      <w:rPr>
        <w:rFonts w:hint="default"/>
        <w:lang w:val="en-us" w:eastAsia="en-us" w:bidi="en-us"/>
      </w:rPr>
    </w:lvl>
    <w:lvl w:ilvl="3">
      <w:start w:val="1"/>
      <w:numFmt w:val="decimal"/>
      <w:lvlText w:val="%1.%2.%3.%4"/>
      <w:lvlJc w:val="left"/>
      <w:pPr>
        <w:ind w:left="1444" w:hanging="864"/>
        <w:jc w:val="left"/>
      </w:pPr>
      <w:rPr>
        <w:rFonts w:hint="default" w:ascii="Arial" w:hAnsi="Arial" w:eastAsia="Arial" w:cs="Arial"/>
        <w:b/>
        <w:bCs/>
        <w:i/>
        <w:spacing w:val="-3"/>
        <w:w w:val="100"/>
        <w:sz w:val="22"/>
        <w:szCs w:val="22"/>
        <w:lang w:val="en-us" w:eastAsia="en-us" w:bidi="en-us"/>
      </w:rPr>
    </w:lvl>
    <w:lvl w:ilvl="4">
      <w:start w:val="0"/>
      <w:numFmt w:val="bullet"/>
      <w:lvlText w:val="•"/>
      <w:lvlJc w:val="left"/>
      <w:pPr>
        <w:ind w:left="5144" w:hanging="864"/>
      </w:pPr>
      <w:rPr>
        <w:rFonts w:hint="default"/>
        <w:lang w:val="en-us" w:eastAsia="en-us" w:bidi="en-us"/>
      </w:rPr>
    </w:lvl>
    <w:lvl w:ilvl="5">
      <w:start w:val="0"/>
      <w:numFmt w:val="bullet"/>
      <w:lvlText w:val="•"/>
      <w:lvlJc w:val="left"/>
      <w:pPr>
        <w:ind w:left="6070" w:hanging="864"/>
      </w:pPr>
      <w:rPr>
        <w:rFonts w:hint="default"/>
        <w:lang w:val="en-us" w:eastAsia="en-us" w:bidi="en-us"/>
      </w:rPr>
    </w:lvl>
    <w:lvl w:ilvl="6">
      <w:start w:val="0"/>
      <w:numFmt w:val="bullet"/>
      <w:lvlText w:val="•"/>
      <w:lvlJc w:val="left"/>
      <w:pPr>
        <w:ind w:left="6996" w:hanging="864"/>
      </w:pPr>
      <w:rPr>
        <w:rFonts w:hint="default"/>
        <w:lang w:val="en-us" w:eastAsia="en-us" w:bidi="en-us"/>
      </w:rPr>
    </w:lvl>
    <w:lvl w:ilvl="7">
      <w:start w:val="0"/>
      <w:numFmt w:val="bullet"/>
      <w:lvlText w:val="•"/>
      <w:lvlJc w:val="left"/>
      <w:pPr>
        <w:ind w:left="7922" w:hanging="864"/>
      </w:pPr>
      <w:rPr>
        <w:rFonts w:hint="default"/>
        <w:lang w:val="en-us" w:eastAsia="en-us" w:bidi="en-us"/>
      </w:rPr>
    </w:lvl>
    <w:lvl w:ilvl="8">
      <w:start w:val="0"/>
      <w:numFmt w:val="bullet"/>
      <w:lvlText w:val="•"/>
      <w:lvlJc w:val="left"/>
      <w:pPr>
        <w:ind w:left="8848" w:hanging="864"/>
      </w:pPr>
      <w:rPr>
        <w:rFonts w:hint="default"/>
        <w:lang w:val="en-us" w:eastAsia="en-us" w:bidi="en-us"/>
      </w:rPr>
    </w:lvl>
  </w:abstractNum>
  <w:abstractNum w:abstractNumId="17">
    <w:multiLevelType w:val="hybridMultilevel"/>
    <w:lvl w:ilvl="0">
      <w:start w:val="4"/>
      <w:numFmt w:val="decimal"/>
      <w:lvlText w:val="%1"/>
      <w:lvlJc w:val="left"/>
      <w:pPr>
        <w:ind w:left="1156" w:hanging="576"/>
        <w:jc w:val="left"/>
      </w:pPr>
      <w:rPr>
        <w:rFonts w:hint="default"/>
        <w:lang w:val="en-us" w:eastAsia="en-us" w:bidi="en-us"/>
      </w:rPr>
    </w:lvl>
    <w:lvl w:ilvl="1">
      <w:start w:val="2"/>
      <w:numFmt w:val="decimal"/>
      <w:lvlText w:val="%1.%2"/>
      <w:lvlJc w:val="left"/>
      <w:pPr>
        <w:ind w:left="1156" w:hanging="576"/>
        <w:jc w:val="left"/>
      </w:pPr>
      <w:rPr>
        <w:rFonts w:hint="default" w:ascii="Arial" w:hAnsi="Arial" w:eastAsia="Arial" w:cs="Arial"/>
        <w:b/>
        <w:bCs/>
        <w:spacing w:val="-1"/>
        <w:w w:val="99"/>
        <w:sz w:val="26"/>
        <w:szCs w:val="26"/>
        <w:lang w:val="en-us" w:eastAsia="en-us" w:bidi="en-us"/>
      </w:rPr>
    </w:lvl>
    <w:lvl w:ilvl="2">
      <w:start w:val="1"/>
      <w:numFmt w:val="upperLetter"/>
      <w:lvlText w:val="%3."/>
      <w:lvlJc w:val="left"/>
      <w:pPr>
        <w:ind w:left="1300" w:hanging="360"/>
        <w:jc w:val="left"/>
      </w:pPr>
      <w:rPr>
        <w:rFonts w:hint="default" w:ascii="Arial" w:hAnsi="Arial" w:eastAsia="Arial" w:cs="Arial"/>
        <w:spacing w:val="-1"/>
        <w:w w:val="100"/>
        <w:sz w:val="22"/>
        <w:szCs w:val="22"/>
        <w:lang w:val="en-us" w:eastAsia="en-us" w:bidi="en-us"/>
      </w:rPr>
    </w:lvl>
    <w:lvl w:ilvl="3">
      <w:start w:val="0"/>
      <w:numFmt w:val="bullet"/>
      <w:lvlText w:val="•"/>
      <w:lvlJc w:val="left"/>
      <w:pPr>
        <w:ind w:left="3388" w:hanging="360"/>
      </w:pPr>
      <w:rPr>
        <w:rFonts w:hint="default"/>
        <w:lang w:val="en-us" w:eastAsia="en-us" w:bidi="en-us"/>
      </w:rPr>
    </w:lvl>
    <w:lvl w:ilvl="4">
      <w:start w:val="0"/>
      <w:numFmt w:val="bullet"/>
      <w:lvlText w:val="•"/>
      <w:lvlJc w:val="left"/>
      <w:pPr>
        <w:ind w:left="4433" w:hanging="360"/>
      </w:pPr>
      <w:rPr>
        <w:rFonts w:hint="default"/>
        <w:lang w:val="en-us" w:eastAsia="en-us" w:bidi="en-us"/>
      </w:rPr>
    </w:lvl>
    <w:lvl w:ilvl="5">
      <w:start w:val="0"/>
      <w:numFmt w:val="bullet"/>
      <w:lvlText w:val="•"/>
      <w:lvlJc w:val="left"/>
      <w:pPr>
        <w:ind w:left="5477" w:hanging="360"/>
      </w:pPr>
      <w:rPr>
        <w:rFonts w:hint="default"/>
        <w:lang w:val="en-us" w:eastAsia="en-us" w:bidi="en-us"/>
      </w:rPr>
    </w:lvl>
    <w:lvl w:ilvl="6">
      <w:start w:val="0"/>
      <w:numFmt w:val="bullet"/>
      <w:lvlText w:val="•"/>
      <w:lvlJc w:val="left"/>
      <w:pPr>
        <w:ind w:left="6522" w:hanging="360"/>
      </w:pPr>
      <w:rPr>
        <w:rFonts w:hint="default"/>
        <w:lang w:val="en-us" w:eastAsia="en-us" w:bidi="en-us"/>
      </w:rPr>
    </w:lvl>
    <w:lvl w:ilvl="7">
      <w:start w:val="0"/>
      <w:numFmt w:val="bullet"/>
      <w:lvlText w:val="•"/>
      <w:lvlJc w:val="left"/>
      <w:pPr>
        <w:ind w:left="7566" w:hanging="360"/>
      </w:pPr>
      <w:rPr>
        <w:rFonts w:hint="default"/>
        <w:lang w:val="en-us" w:eastAsia="en-us" w:bidi="en-us"/>
      </w:rPr>
    </w:lvl>
    <w:lvl w:ilvl="8">
      <w:start w:val="0"/>
      <w:numFmt w:val="bullet"/>
      <w:lvlText w:val="•"/>
      <w:lvlJc w:val="left"/>
      <w:pPr>
        <w:ind w:left="8611" w:hanging="360"/>
      </w:pPr>
      <w:rPr>
        <w:rFonts w:hint="default"/>
        <w:lang w:val="en-us" w:eastAsia="en-us" w:bidi="en-us"/>
      </w:rPr>
    </w:lvl>
  </w:abstractNum>
  <w:abstractNum w:abstractNumId="16">
    <w:multiLevelType w:val="hybridMultilevel"/>
    <w:lvl w:ilvl="0">
      <w:start w:val="1"/>
      <w:numFmt w:val="upperLetter"/>
      <w:lvlText w:val="%1."/>
      <w:lvlJc w:val="left"/>
      <w:pPr>
        <w:ind w:left="1300" w:hanging="360"/>
        <w:jc w:val="left"/>
      </w:pPr>
      <w:rPr>
        <w:rFonts w:hint="default" w:ascii="Arial" w:hAnsi="Arial" w:eastAsia="Arial" w:cs="Arial"/>
        <w:spacing w:val="-1"/>
        <w:w w:val="100"/>
        <w:sz w:val="22"/>
        <w:szCs w:val="22"/>
        <w:lang w:val="en-us" w:eastAsia="en-us" w:bidi="en-us"/>
      </w:rPr>
    </w:lvl>
    <w:lvl w:ilvl="1">
      <w:start w:val="0"/>
      <w:numFmt w:val="bullet"/>
      <w:lvlText w:val="•"/>
      <w:lvlJc w:val="left"/>
      <w:pPr>
        <w:ind w:left="2240" w:hanging="360"/>
      </w:pPr>
      <w:rPr>
        <w:rFonts w:hint="default"/>
        <w:lang w:val="en-us" w:eastAsia="en-us" w:bidi="en-us"/>
      </w:rPr>
    </w:lvl>
    <w:lvl w:ilvl="2">
      <w:start w:val="0"/>
      <w:numFmt w:val="bullet"/>
      <w:lvlText w:val="•"/>
      <w:lvlJc w:val="left"/>
      <w:pPr>
        <w:ind w:left="3180" w:hanging="360"/>
      </w:pPr>
      <w:rPr>
        <w:rFonts w:hint="default"/>
        <w:lang w:val="en-us" w:eastAsia="en-us" w:bidi="en-us"/>
      </w:rPr>
    </w:lvl>
    <w:lvl w:ilvl="3">
      <w:start w:val="0"/>
      <w:numFmt w:val="bullet"/>
      <w:lvlText w:val="•"/>
      <w:lvlJc w:val="left"/>
      <w:pPr>
        <w:ind w:left="4120" w:hanging="360"/>
      </w:pPr>
      <w:rPr>
        <w:rFonts w:hint="default"/>
        <w:lang w:val="en-us" w:eastAsia="en-us" w:bidi="en-us"/>
      </w:rPr>
    </w:lvl>
    <w:lvl w:ilvl="4">
      <w:start w:val="0"/>
      <w:numFmt w:val="bullet"/>
      <w:lvlText w:val="•"/>
      <w:lvlJc w:val="left"/>
      <w:pPr>
        <w:ind w:left="5060"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40" w:hanging="360"/>
      </w:pPr>
      <w:rPr>
        <w:rFonts w:hint="default"/>
        <w:lang w:val="en-us" w:eastAsia="en-us" w:bidi="en-us"/>
      </w:rPr>
    </w:lvl>
    <w:lvl w:ilvl="7">
      <w:start w:val="0"/>
      <w:numFmt w:val="bullet"/>
      <w:lvlText w:val="•"/>
      <w:lvlJc w:val="left"/>
      <w:pPr>
        <w:ind w:left="7880" w:hanging="360"/>
      </w:pPr>
      <w:rPr>
        <w:rFonts w:hint="default"/>
        <w:lang w:val="en-us" w:eastAsia="en-us" w:bidi="en-us"/>
      </w:rPr>
    </w:lvl>
    <w:lvl w:ilvl="8">
      <w:start w:val="0"/>
      <w:numFmt w:val="bullet"/>
      <w:lvlText w:val="•"/>
      <w:lvlJc w:val="left"/>
      <w:pPr>
        <w:ind w:left="8820" w:hanging="360"/>
      </w:pPr>
      <w:rPr>
        <w:rFonts w:hint="default"/>
        <w:lang w:val="en-us" w:eastAsia="en-us" w:bidi="en-us"/>
      </w:rPr>
    </w:lvl>
  </w:abstractNum>
  <w:abstractNum w:abstractNumId="15">
    <w:multiLevelType w:val="hybridMultilevel"/>
    <w:lvl w:ilvl="0">
      <w:start w:val="1"/>
      <w:numFmt w:val="upperLetter"/>
      <w:lvlText w:val="%1."/>
      <w:lvlJc w:val="left"/>
      <w:pPr>
        <w:ind w:left="1300" w:hanging="360"/>
        <w:jc w:val="left"/>
      </w:pPr>
      <w:rPr>
        <w:rFonts w:hint="default" w:ascii="Arial" w:hAnsi="Arial" w:eastAsia="Arial" w:cs="Arial"/>
        <w:spacing w:val="-1"/>
        <w:w w:val="100"/>
        <w:sz w:val="22"/>
        <w:szCs w:val="22"/>
        <w:lang w:val="en-us" w:eastAsia="en-us" w:bidi="en-us"/>
      </w:rPr>
    </w:lvl>
    <w:lvl w:ilvl="1">
      <w:start w:val="1"/>
      <w:numFmt w:val="decimal"/>
      <w:lvlText w:val="%2."/>
      <w:lvlJc w:val="left"/>
      <w:pPr>
        <w:ind w:left="2020" w:hanging="360"/>
        <w:jc w:val="left"/>
      </w:pPr>
      <w:rPr>
        <w:rFonts w:hint="default" w:ascii="Arial" w:hAnsi="Arial" w:eastAsia="Arial" w:cs="Arial"/>
        <w:spacing w:val="-1"/>
        <w:w w:val="100"/>
        <w:sz w:val="22"/>
        <w:szCs w:val="22"/>
        <w:lang w:val="en-us" w:eastAsia="en-us" w:bidi="en-us"/>
      </w:rPr>
    </w:lvl>
    <w:lvl w:ilvl="2">
      <w:start w:val="0"/>
      <w:numFmt w:val="bullet"/>
      <w:lvlText w:val="•"/>
      <w:lvlJc w:val="left"/>
      <w:pPr>
        <w:ind w:left="2984" w:hanging="360"/>
      </w:pPr>
      <w:rPr>
        <w:rFonts w:hint="default"/>
        <w:lang w:val="en-us" w:eastAsia="en-us" w:bidi="en-us"/>
      </w:rPr>
    </w:lvl>
    <w:lvl w:ilvl="3">
      <w:start w:val="0"/>
      <w:numFmt w:val="bullet"/>
      <w:lvlText w:val="•"/>
      <w:lvlJc w:val="left"/>
      <w:pPr>
        <w:ind w:left="3948" w:hanging="360"/>
      </w:pPr>
      <w:rPr>
        <w:rFonts w:hint="default"/>
        <w:lang w:val="en-us" w:eastAsia="en-us" w:bidi="en-us"/>
      </w:rPr>
    </w:lvl>
    <w:lvl w:ilvl="4">
      <w:start w:val="0"/>
      <w:numFmt w:val="bullet"/>
      <w:lvlText w:val="•"/>
      <w:lvlJc w:val="left"/>
      <w:pPr>
        <w:ind w:left="4913" w:hanging="360"/>
      </w:pPr>
      <w:rPr>
        <w:rFonts w:hint="default"/>
        <w:lang w:val="en-us" w:eastAsia="en-us" w:bidi="en-us"/>
      </w:rPr>
    </w:lvl>
    <w:lvl w:ilvl="5">
      <w:start w:val="0"/>
      <w:numFmt w:val="bullet"/>
      <w:lvlText w:val="•"/>
      <w:lvlJc w:val="left"/>
      <w:pPr>
        <w:ind w:left="5877" w:hanging="360"/>
      </w:pPr>
      <w:rPr>
        <w:rFonts w:hint="default"/>
        <w:lang w:val="en-us" w:eastAsia="en-us" w:bidi="en-us"/>
      </w:rPr>
    </w:lvl>
    <w:lvl w:ilvl="6">
      <w:start w:val="0"/>
      <w:numFmt w:val="bullet"/>
      <w:lvlText w:val="•"/>
      <w:lvlJc w:val="left"/>
      <w:pPr>
        <w:ind w:left="6842" w:hanging="360"/>
      </w:pPr>
      <w:rPr>
        <w:rFonts w:hint="default"/>
        <w:lang w:val="en-us" w:eastAsia="en-us" w:bidi="en-us"/>
      </w:rPr>
    </w:lvl>
    <w:lvl w:ilvl="7">
      <w:start w:val="0"/>
      <w:numFmt w:val="bullet"/>
      <w:lvlText w:val="•"/>
      <w:lvlJc w:val="left"/>
      <w:pPr>
        <w:ind w:left="7806" w:hanging="360"/>
      </w:pPr>
      <w:rPr>
        <w:rFonts w:hint="default"/>
        <w:lang w:val="en-us" w:eastAsia="en-us" w:bidi="en-us"/>
      </w:rPr>
    </w:lvl>
    <w:lvl w:ilvl="8">
      <w:start w:val="0"/>
      <w:numFmt w:val="bullet"/>
      <w:lvlText w:val="•"/>
      <w:lvlJc w:val="left"/>
      <w:pPr>
        <w:ind w:left="8771" w:hanging="360"/>
      </w:pPr>
      <w:rPr>
        <w:rFonts w:hint="default"/>
        <w:lang w:val="en-us" w:eastAsia="en-us" w:bidi="en-us"/>
      </w:rPr>
    </w:lvl>
  </w:abstractNum>
  <w:abstractNum w:abstractNumId="14">
    <w:multiLevelType w:val="hybridMultilevel"/>
    <w:lvl w:ilvl="0">
      <w:start w:val="1"/>
      <w:numFmt w:val="upperLetter"/>
      <w:lvlText w:val="%1."/>
      <w:lvlJc w:val="left"/>
      <w:pPr>
        <w:ind w:left="1300" w:hanging="360"/>
        <w:jc w:val="left"/>
      </w:pPr>
      <w:rPr>
        <w:rFonts w:hint="default" w:ascii="Arial" w:hAnsi="Arial" w:eastAsia="Arial" w:cs="Arial"/>
        <w:spacing w:val="-1"/>
        <w:w w:val="100"/>
        <w:sz w:val="22"/>
        <w:szCs w:val="22"/>
        <w:lang w:val="en-us" w:eastAsia="en-us" w:bidi="en-us"/>
      </w:rPr>
    </w:lvl>
    <w:lvl w:ilvl="1">
      <w:start w:val="0"/>
      <w:numFmt w:val="bullet"/>
      <w:lvlText w:val="•"/>
      <w:lvlJc w:val="left"/>
      <w:pPr>
        <w:ind w:left="2240" w:hanging="360"/>
      </w:pPr>
      <w:rPr>
        <w:rFonts w:hint="default"/>
        <w:lang w:val="en-us" w:eastAsia="en-us" w:bidi="en-us"/>
      </w:rPr>
    </w:lvl>
    <w:lvl w:ilvl="2">
      <w:start w:val="0"/>
      <w:numFmt w:val="bullet"/>
      <w:lvlText w:val="•"/>
      <w:lvlJc w:val="left"/>
      <w:pPr>
        <w:ind w:left="3180" w:hanging="360"/>
      </w:pPr>
      <w:rPr>
        <w:rFonts w:hint="default"/>
        <w:lang w:val="en-us" w:eastAsia="en-us" w:bidi="en-us"/>
      </w:rPr>
    </w:lvl>
    <w:lvl w:ilvl="3">
      <w:start w:val="0"/>
      <w:numFmt w:val="bullet"/>
      <w:lvlText w:val="•"/>
      <w:lvlJc w:val="left"/>
      <w:pPr>
        <w:ind w:left="4120" w:hanging="360"/>
      </w:pPr>
      <w:rPr>
        <w:rFonts w:hint="default"/>
        <w:lang w:val="en-us" w:eastAsia="en-us" w:bidi="en-us"/>
      </w:rPr>
    </w:lvl>
    <w:lvl w:ilvl="4">
      <w:start w:val="0"/>
      <w:numFmt w:val="bullet"/>
      <w:lvlText w:val="•"/>
      <w:lvlJc w:val="left"/>
      <w:pPr>
        <w:ind w:left="5060"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40" w:hanging="360"/>
      </w:pPr>
      <w:rPr>
        <w:rFonts w:hint="default"/>
        <w:lang w:val="en-us" w:eastAsia="en-us" w:bidi="en-us"/>
      </w:rPr>
    </w:lvl>
    <w:lvl w:ilvl="7">
      <w:start w:val="0"/>
      <w:numFmt w:val="bullet"/>
      <w:lvlText w:val="•"/>
      <w:lvlJc w:val="left"/>
      <w:pPr>
        <w:ind w:left="7880" w:hanging="360"/>
      </w:pPr>
      <w:rPr>
        <w:rFonts w:hint="default"/>
        <w:lang w:val="en-us" w:eastAsia="en-us" w:bidi="en-us"/>
      </w:rPr>
    </w:lvl>
    <w:lvl w:ilvl="8">
      <w:start w:val="0"/>
      <w:numFmt w:val="bullet"/>
      <w:lvlText w:val="•"/>
      <w:lvlJc w:val="left"/>
      <w:pPr>
        <w:ind w:left="8820" w:hanging="360"/>
      </w:pPr>
      <w:rPr>
        <w:rFonts w:hint="default"/>
        <w:lang w:val="en-us" w:eastAsia="en-us" w:bidi="en-us"/>
      </w:rPr>
    </w:lvl>
  </w:abstractNum>
  <w:abstractNum w:abstractNumId="13">
    <w:multiLevelType w:val="hybridMultilevel"/>
    <w:lvl w:ilvl="0">
      <w:start w:val="1"/>
      <w:numFmt w:val="upperLetter"/>
      <w:lvlText w:val="%1."/>
      <w:lvlJc w:val="left"/>
      <w:pPr>
        <w:ind w:left="1300" w:hanging="360"/>
        <w:jc w:val="left"/>
      </w:pPr>
      <w:rPr>
        <w:rFonts w:hint="default" w:ascii="Arial" w:hAnsi="Arial" w:eastAsia="Arial" w:cs="Arial"/>
        <w:spacing w:val="-1"/>
        <w:w w:val="100"/>
        <w:sz w:val="22"/>
        <w:szCs w:val="22"/>
        <w:lang w:val="en-us" w:eastAsia="en-us" w:bidi="en-us"/>
      </w:rPr>
    </w:lvl>
    <w:lvl w:ilvl="1">
      <w:start w:val="1"/>
      <w:numFmt w:val="decimal"/>
      <w:lvlText w:val="%2."/>
      <w:lvlJc w:val="left"/>
      <w:pPr>
        <w:ind w:left="2020" w:hanging="248"/>
        <w:jc w:val="left"/>
      </w:pPr>
      <w:rPr>
        <w:rFonts w:hint="default" w:ascii="Arial" w:hAnsi="Arial" w:eastAsia="Arial" w:cs="Arial"/>
        <w:w w:val="100"/>
        <w:sz w:val="22"/>
        <w:szCs w:val="22"/>
        <w:lang w:val="en-us" w:eastAsia="en-us" w:bidi="en-us"/>
      </w:rPr>
    </w:lvl>
    <w:lvl w:ilvl="2">
      <w:start w:val="0"/>
      <w:numFmt w:val="bullet"/>
      <w:lvlText w:val="•"/>
      <w:lvlJc w:val="left"/>
      <w:pPr>
        <w:ind w:left="2984" w:hanging="248"/>
      </w:pPr>
      <w:rPr>
        <w:rFonts w:hint="default"/>
        <w:lang w:val="en-us" w:eastAsia="en-us" w:bidi="en-us"/>
      </w:rPr>
    </w:lvl>
    <w:lvl w:ilvl="3">
      <w:start w:val="0"/>
      <w:numFmt w:val="bullet"/>
      <w:lvlText w:val="•"/>
      <w:lvlJc w:val="left"/>
      <w:pPr>
        <w:ind w:left="3948" w:hanging="248"/>
      </w:pPr>
      <w:rPr>
        <w:rFonts w:hint="default"/>
        <w:lang w:val="en-us" w:eastAsia="en-us" w:bidi="en-us"/>
      </w:rPr>
    </w:lvl>
    <w:lvl w:ilvl="4">
      <w:start w:val="0"/>
      <w:numFmt w:val="bullet"/>
      <w:lvlText w:val="•"/>
      <w:lvlJc w:val="left"/>
      <w:pPr>
        <w:ind w:left="4913" w:hanging="248"/>
      </w:pPr>
      <w:rPr>
        <w:rFonts w:hint="default"/>
        <w:lang w:val="en-us" w:eastAsia="en-us" w:bidi="en-us"/>
      </w:rPr>
    </w:lvl>
    <w:lvl w:ilvl="5">
      <w:start w:val="0"/>
      <w:numFmt w:val="bullet"/>
      <w:lvlText w:val="•"/>
      <w:lvlJc w:val="left"/>
      <w:pPr>
        <w:ind w:left="5877" w:hanging="248"/>
      </w:pPr>
      <w:rPr>
        <w:rFonts w:hint="default"/>
        <w:lang w:val="en-us" w:eastAsia="en-us" w:bidi="en-us"/>
      </w:rPr>
    </w:lvl>
    <w:lvl w:ilvl="6">
      <w:start w:val="0"/>
      <w:numFmt w:val="bullet"/>
      <w:lvlText w:val="•"/>
      <w:lvlJc w:val="left"/>
      <w:pPr>
        <w:ind w:left="6842" w:hanging="248"/>
      </w:pPr>
      <w:rPr>
        <w:rFonts w:hint="default"/>
        <w:lang w:val="en-us" w:eastAsia="en-us" w:bidi="en-us"/>
      </w:rPr>
    </w:lvl>
    <w:lvl w:ilvl="7">
      <w:start w:val="0"/>
      <w:numFmt w:val="bullet"/>
      <w:lvlText w:val="•"/>
      <w:lvlJc w:val="left"/>
      <w:pPr>
        <w:ind w:left="7806" w:hanging="248"/>
      </w:pPr>
      <w:rPr>
        <w:rFonts w:hint="default"/>
        <w:lang w:val="en-us" w:eastAsia="en-us" w:bidi="en-us"/>
      </w:rPr>
    </w:lvl>
    <w:lvl w:ilvl="8">
      <w:start w:val="0"/>
      <w:numFmt w:val="bullet"/>
      <w:lvlText w:val="•"/>
      <w:lvlJc w:val="left"/>
      <w:pPr>
        <w:ind w:left="8771" w:hanging="248"/>
      </w:pPr>
      <w:rPr>
        <w:rFonts w:hint="default"/>
        <w:lang w:val="en-us" w:eastAsia="en-us" w:bidi="en-us"/>
      </w:rPr>
    </w:lvl>
  </w:abstractNum>
  <w:abstractNum w:abstractNumId="12">
    <w:multiLevelType w:val="hybridMultilevel"/>
    <w:lvl w:ilvl="0">
      <w:start w:val="1"/>
      <w:numFmt w:val="upperLetter"/>
      <w:lvlText w:val="%1."/>
      <w:lvlJc w:val="left"/>
      <w:pPr>
        <w:ind w:left="1300" w:hanging="360"/>
        <w:jc w:val="left"/>
      </w:pPr>
      <w:rPr>
        <w:rFonts w:hint="default" w:ascii="Arial" w:hAnsi="Arial" w:eastAsia="Arial" w:cs="Arial"/>
        <w:spacing w:val="-1"/>
        <w:w w:val="100"/>
        <w:sz w:val="22"/>
        <w:szCs w:val="22"/>
        <w:lang w:val="en-us" w:eastAsia="en-us" w:bidi="en-us"/>
      </w:rPr>
    </w:lvl>
    <w:lvl w:ilvl="1">
      <w:start w:val="0"/>
      <w:numFmt w:val="bullet"/>
      <w:lvlText w:val="•"/>
      <w:lvlJc w:val="left"/>
      <w:pPr>
        <w:ind w:left="2240" w:hanging="360"/>
      </w:pPr>
      <w:rPr>
        <w:rFonts w:hint="default"/>
        <w:lang w:val="en-us" w:eastAsia="en-us" w:bidi="en-us"/>
      </w:rPr>
    </w:lvl>
    <w:lvl w:ilvl="2">
      <w:start w:val="0"/>
      <w:numFmt w:val="bullet"/>
      <w:lvlText w:val="•"/>
      <w:lvlJc w:val="left"/>
      <w:pPr>
        <w:ind w:left="3180" w:hanging="360"/>
      </w:pPr>
      <w:rPr>
        <w:rFonts w:hint="default"/>
        <w:lang w:val="en-us" w:eastAsia="en-us" w:bidi="en-us"/>
      </w:rPr>
    </w:lvl>
    <w:lvl w:ilvl="3">
      <w:start w:val="0"/>
      <w:numFmt w:val="bullet"/>
      <w:lvlText w:val="•"/>
      <w:lvlJc w:val="left"/>
      <w:pPr>
        <w:ind w:left="4120" w:hanging="360"/>
      </w:pPr>
      <w:rPr>
        <w:rFonts w:hint="default"/>
        <w:lang w:val="en-us" w:eastAsia="en-us" w:bidi="en-us"/>
      </w:rPr>
    </w:lvl>
    <w:lvl w:ilvl="4">
      <w:start w:val="0"/>
      <w:numFmt w:val="bullet"/>
      <w:lvlText w:val="•"/>
      <w:lvlJc w:val="left"/>
      <w:pPr>
        <w:ind w:left="5060"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40" w:hanging="360"/>
      </w:pPr>
      <w:rPr>
        <w:rFonts w:hint="default"/>
        <w:lang w:val="en-us" w:eastAsia="en-us" w:bidi="en-us"/>
      </w:rPr>
    </w:lvl>
    <w:lvl w:ilvl="7">
      <w:start w:val="0"/>
      <w:numFmt w:val="bullet"/>
      <w:lvlText w:val="•"/>
      <w:lvlJc w:val="left"/>
      <w:pPr>
        <w:ind w:left="7880" w:hanging="360"/>
      </w:pPr>
      <w:rPr>
        <w:rFonts w:hint="default"/>
        <w:lang w:val="en-us" w:eastAsia="en-us" w:bidi="en-us"/>
      </w:rPr>
    </w:lvl>
    <w:lvl w:ilvl="8">
      <w:start w:val="0"/>
      <w:numFmt w:val="bullet"/>
      <w:lvlText w:val="•"/>
      <w:lvlJc w:val="left"/>
      <w:pPr>
        <w:ind w:left="8820" w:hanging="360"/>
      </w:pPr>
      <w:rPr>
        <w:rFonts w:hint="default"/>
        <w:lang w:val="en-us" w:eastAsia="en-us" w:bidi="en-us"/>
      </w:rPr>
    </w:lvl>
  </w:abstractNum>
  <w:abstractNum w:abstractNumId="11">
    <w:multiLevelType w:val="hybridMultilevel"/>
    <w:lvl w:ilvl="0">
      <w:start w:val="4"/>
      <w:numFmt w:val="decimal"/>
      <w:lvlText w:val="%1"/>
      <w:lvlJc w:val="left"/>
      <w:pPr>
        <w:ind w:left="1300" w:hanging="720"/>
        <w:jc w:val="left"/>
      </w:pPr>
      <w:rPr>
        <w:rFonts w:hint="default"/>
        <w:lang w:val="en-us" w:eastAsia="en-us" w:bidi="en-us"/>
      </w:rPr>
    </w:lvl>
    <w:lvl w:ilvl="1">
      <w:start w:val="1"/>
      <w:numFmt w:val="decimal"/>
      <w:lvlText w:val="%1.%2"/>
      <w:lvlJc w:val="left"/>
      <w:pPr>
        <w:ind w:left="1300" w:hanging="720"/>
        <w:jc w:val="left"/>
      </w:pPr>
      <w:rPr>
        <w:rFonts w:hint="default"/>
        <w:lang w:val="en-us" w:eastAsia="en-us" w:bidi="en-us"/>
      </w:rPr>
    </w:lvl>
    <w:lvl w:ilvl="2">
      <w:start w:val="1"/>
      <w:numFmt w:val="decimal"/>
      <w:lvlText w:val="%1.%2.%3"/>
      <w:lvlJc w:val="left"/>
      <w:pPr>
        <w:ind w:left="1300" w:hanging="720"/>
        <w:jc w:val="left"/>
      </w:pPr>
      <w:rPr>
        <w:rFonts w:hint="default" w:ascii="Arial" w:hAnsi="Arial" w:eastAsia="Arial" w:cs="Arial"/>
        <w:b/>
        <w:bCs/>
        <w:w w:val="100"/>
        <w:sz w:val="22"/>
        <w:szCs w:val="22"/>
        <w:lang w:val="en-us" w:eastAsia="en-us" w:bidi="en-us"/>
      </w:rPr>
    </w:lvl>
    <w:lvl w:ilvl="3">
      <w:start w:val="0"/>
      <w:numFmt w:val="bullet"/>
      <w:lvlText w:val="•"/>
      <w:lvlJc w:val="left"/>
      <w:pPr>
        <w:ind w:left="4120" w:hanging="720"/>
      </w:pPr>
      <w:rPr>
        <w:rFonts w:hint="default"/>
        <w:lang w:val="en-us" w:eastAsia="en-us" w:bidi="en-us"/>
      </w:rPr>
    </w:lvl>
    <w:lvl w:ilvl="4">
      <w:start w:val="0"/>
      <w:numFmt w:val="bullet"/>
      <w:lvlText w:val="•"/>
      <w:lvlJc w:val="left"/>
      <w:pPr>
        <w:ind w:left="5060" w:hanging="720"/>
      </w:pPr>
      <w:rPr>
        <w:rFonts w:hint="default"/>
        <w:lang w:val="en-us" w:eastAsia="en-us" w:bidi="en-us"/>
      </w:rPr>
    </w:lvl>
    <w:lvl w:ilvl="5">
      <w:start w:val="0"/>
      <w:numFmt w:val="bullet"/>
      <w:lvlText w:val="•"/>
      <w:lvlJc w:val="left"/>
      <w:pPr>
        <w:ind w:left="6000" w:hanging="720"/>
      </w:pPr>
      <w:rPr>
        <w:rFonts w:hint="default"/>
        <w:lang w:val="en-us" w:eastAsia="en-us" w:bidi="en-us"/>
      </w:rPr>
    </w:lvl>
    <w:lvl w:ilvl="6">
      <w:start w:val="0"/>
      <w:numFmt w:val="bullet"/>
      <w:lvlText w:val="•"/>
      <w:lvlJc w:val="left"/>
      <w:pPr>
        <w:ind w:left="6940" w:hanging="720"/>
      </w:pPr>
      <w:rPr>
        <w:rFonts w:hint="default"/>
        <w:lang w:val="en-us" w:eastAsia="en-us" w:bidi="en-us"/>
      </w:rPr>
    </w:lvl>
    <w:lvl w:ilvl="7">
      <w:start w:val="0"/>
      <w:numFmt w:val="bullet"/>
      <w:lvlText w:val="•"/>
      <w:lvlJc w:val="left"/>
      <w:pPr>
        <w:ind w:left="7880" w:hanging="720"/>
      </w:pPr>
      <w:rPr>
        <w:rFonts w:hint="default"/>
        <w:lang w:val="en-us" w:eastAsia="en-us" w:bidi="en-us"/>
      </w:rPr>
    </w:lvl>
    <w:lvl w:ilvl="8">
      <w:start w:val="0"/>
      <w:numFmt w:val="bullet"/>
      <w:lvlText w:val="•"/>
      <w:lvlJc w:val="left"/>
      <w:pPr>
        <w:ind w:left="8820" w:hanging="720"/>
      </w:pPr>
      <w:rPr>
        <w:rFonts w:hint="default"/>
        <w:lang w:val="en-us" w:eastAsia="en-us" w:bidi="en-us"/>
      </w:rPr>
    </w:lvl>
  </w:abstractNum>
  <w:abstractNum w:abstractNumId="10">
    <w:multiLevelType w:val="hybridMultilevel"/>
    <w:lvl w:ilvl="0">
      <w:start w:val="4"/>
      <w:numFmt w:val="decimal"/>
      <w:lvlText w:val="%1"/>
      <w:lvlJc w:val="left"/>
      <w:pPr>
        <w:ind w:left="1156" w:hanging="576"/>
        <w:jc w:val="left"/>
      </w:pPr>
      <w:rPr>
        <w:rFonts w:hint="default"/>
        <w:lang w:val="en-us" w:eastAsia="en-us" w:bidi="en-us"/>
      </w:rPr>
    </w:lvl>
    <w:lvl w:ilvl="1">
      <w:start w:val="1"/>
      <w:numFmt w:val="decimal"/>
      <w:lvlText w:val="%1.%2"/>
      <w:lvlJc w:val="left"/>
      <w:pPr>
        <w:ind w:left="1156" w:hanging="576"/>
        <w:jc w:val="left"/>
      </w:pPr>
      <w:rPr>
        <w:rFonts w:hint="default" w:ascii="Arial" w:hAnsi="Arial" w:eastAsia="Arial" w:cs="Arial"/>
        <w:b/>
        <w:bCs/>
        <w:spacing w:val="-1"/>
        <w:w w:val="99"/>
        <w:sz w:val="26"/>
        <w:szCs w:val="26"/>
        <w:lang w:val="en-us" w:eastAsia="en-us" w:bidi="en-us"/>
      </w:rPr>
    </w:lvl>
    <w:lvl w:ilvl="2">
      <w:start w:val="1"/>
      <w:numFmt w:val="upperLetter"/>
      <w:lvlText w:val="%3."/>
      <w:lvlJc w:val="left"/>
      <w:pPr>
        <w:ind w:left="1300" w:hanging="360"/>
        <w:jc w:val="left"/>
      </w:pPr>
      <w:rPr>
        <w:rFonts w:hint="default" w:ascii="Arial" w:hAnsi="Arial" w:eastAsia="Arial" w:cs="Arial"/>
        <w:spacing w:val="-1"/>
        <w:w w:val="100"/>
        <w:sz w:val="22"/>
        <w:szCs w:val="22"/>
        <w:lang w:val="en-us" w:eastAsia="en-us" w:bidi="en-us"/>
      </w:rPr>
    </w:lvl>
    <w:lvl w:ilvl="3">
      <w:start w:val="0"/>
      <w:numFmt w:val="bullet"/>
      <w:lvlText w:val="•"/>
      <w:lvlJc w:val="left"/>
      <w:pPr>
        <w:ind w:left="3388" w:hanging="360"/>
      </w:pPr>
      <w:rPr>
        <w:rFonts w:hint="default"/>
        <w:lang w:val="en-us" w:eastAsia="en-us" w:bidi="en-us"/>
      </w:rPr>
    </w:lvl>
    <w:lvl w:ilvl="4">
      <w:start w:val="0"/>
      <w:numFmt w:val="bullet"/>
      <w:lvlText w:val="•"/>
      <w:lvlJc w:val="left"/>
      <w:pPr>
        <w:ind w:left="4433" w:hanging="360"/>
      </w:pPr>
      <w:rPr>
        <w:rFonts w:hint="default"/>
        <w:lang w:val="en-us" w:eastAsia="en-us" w:bidi="en-us"/>
      </w:rPr>
    </w:lvl>
    <w:lvl w:ilvl="5">
      <w:start w:val="0"/>
      <w:numFmt w:val="bullet"/>
      <w:lvlText w:val="•"/>
      <w:lvlJc w:val="left"/>
      <w:pPr>
        <w:ind w:left="5477" w:hanging="360"/>
      </w:pPr>
      <w:rPr>
        <w:rFonts w:hint="default"/>
        <w:lang w:val="en-us" w:eastAsia="en-us" w:bidi="en-us"/>
      </w:rPr>
    </w:lvl>
    <w:lvl w:ilvl="6">
      <w:start w:val="0"/>
      <w:numFmt w:val="bullet"/>
      <w:lvlText w:val="•"/>
      <w:lvlJc w:val="left"/>
      <w:pPr>
        <w:ind w:left="6522" w:hanging="360"/>
      </w:pPr>
      <w:rPr>
        <w:rFonts w:hint="default"/>
        <w:lang w:val="en-us" w:eastAsia="en-us" w:bidi="en-us"/>
      </w:rPr>
    </w:lvl>
    <w:lvl w:ilvl="7">
      <w:start w:val="0"/>
      <w:numFmt w:val="bullet"/>
      <w:lvlText w:val="•"/>
      <w:lvlJc w:val="left"/>
      <w:pPr>
        <w:ind w:left="7566" w:hanging="360"/>
      </w:pPr>
      <w:rPr>
        <w:rFonts w:hint="default"/>
        <w:lang w:val="en-us" w:eastAsia="en-us" w:bidi="en-us"/>
      </w:rPr>
    </w:lvl>
    <w:lvl w:ilvl="8">
      <w:start w:val="0"/>
      <w:numFmt w:val="bullet"/>
      <w:lvlText w:val="•"/>
      <w:lvlJc w:val="left"/>
      <w:pPr>
        <w:ind w:left="8611" w:hanging="360"/>
      </w:pPr>
      <w:rPr>
        <w:rFonts w:hint="default"/>
        <w:lang w:val="en-us" w:eastAsia="en-us" w:bidi="en-us"/>
      </w:rPr>
    </w:lvl>
  </w:abstractNum>
  <w:abstractNum w:abstractNumId="9">
    <w:multiLevelType w:val="hybridMultilevel"/>
    <w:lvl w:ilvl="0">
      <w:start w:val="3"/>
      <w:numFmt w:val="decimal"/>
      <w:lvlText w:val="%1"/>
      <w:lvlJc w:val="left"/>
      <w:pPr>
        <w:ind w:left="1156" w:hanging="576"/>
        <w:jc w:val="left"/>
      </w:pPr>
      <w:rPr>
        <w:rFonts w:hint="default"/>
        <w:lang w:val="en-us" w:eastAsia="en-us" w:bidi="en-us"/>
      </w:rPr>
    </w:lvl>
    <w:lvl w:ilvl="1">
      <w:start w:val="3"/>
      <w:numFmt w:val="decimal"/>
      <w:lvlText w:val="%1.%2"/>
      <w:lvlJc w:val="left"/>
      <w:pPr>
        <w:ind w:left="1156" w:hanging="576"/>
        <w:jc w:val="left"/>
      </w:pPr>
      <w:rPr>
        <w:rFonts w:hint="default" w:ascii="Arial" w:hAnsi="Arial" w:eastAsia="Arial" w:cs="Arial"/>
        <w:b/>
        <w:bCs/>
        <w:spacing w:val="-1"/>
        <w:w w:val="99"/>
        <w:sz w:val="26"/>
        <w:szCs w:val="26"/>
        <w:lang w:val="en-us" w:eastAsia="en-us" w:bidi="en-us"/>
      </w:rPr>
    </w:lvl>
    <w:lvl w:ilvl="2">
      <w:start w:val="1"/>
      <w:numFmt w:val="decimal"/>
      <w:lvlText w:val="%1.%2.%3"/>
      <w:lvlJc w:val="left"/>
      <w:pPr>
        <w:ind w:left="1300" w:hanging="720"/>
        <w:jc w:val="left"/>
      </w:pPr>
      <w:rPr>
        <w:rFonts w:hint="default" w:ascii="Arial" w:hAnsi="Arial" w:eastAsia="Arial" w:cs="Arial"/>
        <w:b/>
        <w:bCs/>
        <w:w w:val="100"/>
        <w:sz w:val="22"/>
        <w:szCs w:val="22"/>
        <w:lang w:val="en-us" w:eastAsia="en-us" w:bidi="en-us"/>
      </w:rPr>
    </w:lvl>
    <w:lvl w:ilvl="3">
      <w:start w:val="0"/>
      <w:numFmt w:val="bullet"/>
      <w:lvlText w:val="•"/>
      <w:lvlJc w:val="left"/>
      <w:pPr>
        <w:ind w:left="2597" w:hanging="720"/>
      </w:pPr>
      <w:rPr>
        <w:rFonts w:hint="default"/>
        <w:lang w:val="en-us" w:eastAsia="en-us" w:bidi="en-us"/>
      </w:rPr>
    </w:lvl>
    <w:lvl w:ilvl="4">
      <w:start w:val="0"/>
      <w:numFmt w:val="bullet"/>
      <w:lvlText w:val="•"/>
      <w:lvlJc w:val="left"/>
      <w:pPr>
        <w:ind w:left="3755" w:hanging="720"/>
      </w:pPr>
      <w:rPr>
        <w:rFonts w:hint="default"/>
        <w:lang w:val="en-us" w:eastAsia="en-us" w:bidi="en-us"/>
      </w:rPr>
    </w:lvl>
    <w:lvl w:ilvl="5">
      <w:start w:val="0"/>
      <w:numFmt w:val="bullet"/>
      <w:lvlText w:val="•"/>
      <w:lvlJc w:val="left"/>
      <w:pPr>
        <w:ind w:left="4912" w:hanging="720"/>
      </w:pPr>
      <w:rPr>
        <w:rFonts w:hint="default"/>
        <w:lang w:val="en-us" w:eastAsia="en-us" w:bidi="en-us"/>
      </w:rPr>
    </w:lvl>
    <w:lvl w:ilvl="6">
      <w:start w:val="0"/>
      <w:numFmt w:val="bullet"/>
      <w:lvlText w:val="•"/>
      <w:lvlJc w:val="left"/>
      <w:pPr>
        <w:ind w:left="6070" w:hanging="720"/>
      </w:pPr>
      <w:rPr>
        <w:rFonts w:hint="default"/>
        <w:lang w:val="en-us" w:eastAsia="en-us" w:bidi="en-us"/>
      </w:rPr>
    </w:lvl>
    <w:lvl w:ilvl="7">
      <w:start w:val="0"/>
      <w:numFmt w:val="bullet"/>
      <w:lvlText w:val="•"/>
      <w:lvlJc w:val="left"/>
      <w:pPr>
        <w:ind w:left="7227" w:hanging="720"/>
      </w:pPr>
      <w:rPr>
        <w:rFonts w:hint="default"/>
        <w:lang w:val="en-us" w:eastAsia="en-us" w:bidi="en-us"/>
      </w:rPr>
    </w:lvl>
    <w:lvl w:ilvl="8">
      <w:start w:val="0"/>
      <w:numFmt w:val="bullet"/>
      <w:lvlText w:val="•"/>
      <w:lvlJc w:val="left"/>
      <w:pPr>
        <w:ind w:left="8385" w:hanging="720"/>
      </w:pPr>
      <w:rPr>
        <w:rFonts w:hint="default"/>
        <w:lang w:val="en-us" w:eastAsia="en-us" w:bidi="en-us"/>
      </w:rPr>
    </w:lvl>
  </w:abstractNum>
  <w:abstractNum w:abstractNumId="8">
    <w:multiLevelType w:val="hybridMultilevel"/>
    <w:lvl w:ilvl="0">
      <w:start w:val="1"/>
      <w:numFmt w:val="upperLetter"/>
      <w:lvlText w:val="%1."/>
      <w:lvlJc w:val="left"/>
      <w:pPr>
        <w:ind w:left="1300" w:hanging="360"/>
        <w:jc w:val="left"/>
      </w:pPr>
      <w:rPr>
        <w:rFonts w:hint="default" w:ascii="Arial" w:hAnsi="Arial" w:eastAsia="Arial" w:cs="Arial"/>
        <w:spacing w:val="-1"/>
        <w:w w:val="100"/>
        <w:sz w:val="22"/>
        <w:szCs w:val="22"/>
        <w:lang w:val="en-us" w:eastAsia="en-us" w:bidi="en-us"/>
      </w:rPr>
    </w:lvl>
    <w:lvl w:ilvl="1">
      <w:start w:val="1"/>
      <w:numFmt w:val="decimal"/>
      <w:lvlText w:val="%2."/>
      <w:lvlJc w:val="left"/>
      <w:pPr>
        <w:ind w:left="2020" w:hanging="360"/>
        <w:jc w:val="left"/>
      </w:pPr>
      <w:rPr>
        <w:rFonts w:hint="default" w:ascii="Arial" w:hAnsi="Arial" w:eastAsia="Arial" w:cs="Arial"/>
        <w:spacing w:val="-1"/>
        <w:w w:val="100"/>
        <w:sz w:val="22"/>
        <w:szCs w:val="22"/>
        <w:lang w:val="en-us" w:eastAsia="en-us" w:bidi="en-us"/>
      </w:rPr>
    </w:lvl>
    <w:lvl w:ilvl="2">
      <w:start w:val="0"/>
      <w:numFmt w:val="bullet"/>
      <w:lvlText w:val="•"/>
      <w:lvlJc w:val="left"/>
      <w:pPr>
        <w:ind w:left="2984" w:hanging="360"/>
      </w:pPr>
      <w:rPr>
        <w:rFonts w:hint="default"/>
        <w:lang w:val="en-us" w:eastAsia="en-us" w:bidi="en-us"/>
      </w:rPr>
    </w:lvl>
    <w:lvl w:ilvl="3">
      <w:start w:val="0"/>
      <w:numFmt w:val="bullet"/>
      <w:lvlText w:val="•"/>
      <w:lvlJc w:val="left"/>
      <w:pPr>
        <w:ind w:left="3948" w:hanging="360"/>
      </w:pPr>
      <w:rPr>
        <w:rFonts w:hint="default"/>
        <w:lang w:val="en-us" w:eastAsia="en-us" w:bidi="en-us"/>
      </w:rPr>
    </w:lvl>
    <w:lvl w:ilvl="4">
      <w:start w:val="0"/>
      <w:numFmt w:val="bullet"/>
      <w:lvlText w:val="•"/>
      <w:lvlJc w:val="left"/>
      <w:pPr>
        <w:ind w:left="4913" w:hanging="360"/>
      </w:pPr>
      <w:rPr>
        <w:rFonts w:hint="default"/>
        <w:lang w:val="en-us" w:eastAsia="en-us" w:bidi="en-us"/>
      </w:rPr>
    </w:lvl>
    <w:lvl w:ilvl="5">
      <w:start w:val="0"/>
      <w:numFmt w:val="bullet"/>
      <w:lvlText w:val="•"/>
      <w:lvlJc w:val="left"/>
      <w:pPr>
        <w:ind w:left="5877" w:hanging="360"/>
      </w:pPr>
      <w:rPr>
        <w:rFonts w:hint="default"/>
        <w:lang w:val="en-us" w:eastAsia="en-us" w:bidi="en-us"/>
      </w:rPr>
    </w:lvl>
    <w:lvl w:ilvl="6">
      <w:start w:val="0"/>
      <w:numFmt w:val="bullet"/>
      <w:lvlText w:val="•"/>
      <w:lvlJc w:val="left"/>
      <w:pPr>
        <w:ind w:left="6842" w:hanging="360"/>
      </w:pPr>
      <w:rPr>
        <w:rFonts w:hint="default"/>
        <w:lang w:val="en-us" w:eastAsia="en-us" w:bidi="en-us"/>
      </w:rPr>
    </w:lvl>
    <w:lvl w:ilvl="7">
      <w:start w:val="0"/>
      <w:numFmt w:val="bullet"/>
      <w:lvlText w:val="•"/>
      <w:lvlJc w:val="left"/>
      <w:pPr>
        <w:ind w:left="7806" w:hanging="360"/>
      </w:pPr>
      <w:rPr>
        <w:rFonts w:hint="default"/>
        <w:lang w:val="en-us" w:eastAsia="en-us" w:bidi="en-us"/>
      </w:rPr>
    </w:lvl>
    <w:lvl w:ilvl="8">
      <w:start w:val="0"/>
      <w:numFmt w:val="bullet"/>
      <w:lvlText w:val="•"/>
      <w:lvlJc w:val="left"/>
      <w:pPr>
        <w:ind w:left="8771" w:hanging="360"/>
      </w:pPr>
      <w:rPr>
        <w:rFonts w:hint="default"/>
        <w:lang w:val="en-us" w:eastAsia="en-us" w:bidi="en-us"/>
      </w:rPr>
    </w:lvl>
  </w:abstractNum>
  <w:abstractNum w:abstractNumId="7">
    <w:multiLevelType w:val="hybridMultilevel"/>
    <w:lvl w:ilvl="0">
      <w:start w:val="1"/>
      <w:numFmt w:val="upperLetter"/>
      <w:lvlText w:val="%1."/>
      <w:lvlJc w:val="left"/>
      <w:pPr>
        <w:ind w:left="1300" w:hanging="360"/>
        <w:jc w:val="left"/>
      </w:pPr>
      <w:rPr>
        <w:rFonts w:hint="default" w:ascii="Arial" w:hAnsi="Arial" w:eastAsia="Arial" w:cs="Arial"/>
        <w:spacing w:val="-1"/>
        <w:w w:val="100"/>
        <w:sz w:val="22"/>
        <w:szCs w:val="22"/>
        <w:lang w:val="en-us" w:eastAsia="en-us" w:bidi="en-us"/>
      </w:rPr>
    </w:lvl>
    <w:lvl w:ilvl="1">
      <w:start w:val="1"/>
      <w:numFmt w:val="decimal"/>
      <w:lvlText w:val="%2."/>
      <w:lvlJc w:val="left"/>
      <w:pPr>
        <w:ind w:left="2020" w:hanging="360"/>
        <w:jc w:val="left"/>
      </w:pPr>
      <w:rPr>
        <w:rFonts w:hint="default" w:ascii="Arial" w:hAnsi="Arial" w:eastAsia="Arial" w:cs="Arial"/>
        <w:spacing w:val="-1"/>
        <w:w w:val="100"/>
        <w:sz w:val="22"/>
        <w:szCs w:val="22"/>
        <w:lang w:val="en-us" w:eastAsia="en-us" w:bidi="en-us"/>
      </w:rPr>
    </w:lvl>
    <w:lvl w:ilvl="2">
      <w:start w:val="0"/>
      <w:numFmt w:val="bullet"/>
      <w:lvlText w:val="•"/>
      <w:lvlJc w:val="left"/>
      <w:pPr>
        <w:ind w:left="2984" w:hanging="360"/>
      </w:pPr>
      <w:rPr>
        <w:rFonts w:hint="default"/>
        <w:lang w:val="en-us" w:eastAsia="en-us" w:bidi="en-us"/>
      </w:rPr>
    </w:lvl>
    <w:lvl w:ilvl="3">
      <w:start w:val="0"/>
      <w:numFmt w:val="bullet"/>
      <w:lvlText w:val="•"/>
      <w:lvlJc w:val="left"/>
      <w:pPr>
        <w:ind w:left="3948" w:hanging="360"/>
      </w:pPr>
      <w:rPr>
        <w:rFonts w:hint="default"/>
        <w:lang w:val="en-us" w:eastAsia="en-us" w:bidi="en-us"/>
      </w:rPr>
    </w:lvl>
    <w:lvl w:ilvl="4">
      <w:start w:val="0"/>
      <w:numFmt w:val="bullet"/>
      <w:lvlText w:val="•"/>
      <w:lvlJc w:val="left"/>
      <w:pPr>
        <w:ind w:left="4913" w:hanging="360"/>
      </w:pPr>
      <w:rPr>
        <w:rFonts w:hint="default"/>
        <w:lang w:val="en-us" w:eastAsia="en-us" w:bidi="en-us"/>
      </w:rPr>
    </w:lvl>
    <w:lvl w:ilvl="5">
      <w:start w:val="0"/>
      <w:numFmt w:val="bullet"/>
      <w:lvlText w:val="•"/>
      <w:lvlJc w:val="left"/>
      <w:pPr>
        <w:ind w:left="5877" w:hanging="360"/>
      </w:pPr>
      <w:rPr>
        <w:rFonts w:hint="default"/>
        <w:lang w:val="en-us" w:eastAsia="en-us" w:bidi="en-us"/>
      </w:rPr>
    </w:lvl>
    <w:lvl w:ilvl="6">
      <w:start w:val="0"/>
      <w:numFmt w:val="bullet"/>
      <w:lvlText w:val="•"/>
      <w:lvlJc w:val="left"/>
      <w:pPr>
        <w:ind w:left="6842" w:hanging="360"/>
      </w:pPr>
      <w:rPr>
        <w:rFonts w:hint="default"/>
        <w:lang w:val="en-us" w:eastAsia="en-us" w:bidi="en-us"/>
      </w:rPr>
    </w:lvl>
    <w:lvl w:ilvl="7">
      <w:start w:val="0"/>
      <w:numFmt w:val="bullet"/>
      <w:lvlText w:val="•"/>
      <w:lvlJc w:val="left"/>
      <w:pPr>
        <w:ind w:left="7806" w:hanging="360"/>
      </w:pPr>
      <w:rPr>
        <w:rFonts w:hint="default"/>
        <w:lang w:val="en-us" w:eastAsia="en-us" w:bidi="en-us"/>
      </w:rPr>
    </w:lvl>
    <w:lvl w:ilvl="8">
      <w:start w:val="0"/>
      <w:numFmt w:val="bullet"/>
      <w:lvlText w:val="•"/>
      <w:lvlJc w:val="left"/>
      <w:pPr>
        <w:ind w:left="8771" w:hanging="360"/>
      </w:pPr>
      <w:rPr>
        <w:rFonts w:hint="default"/>
        <w:lang w:val="en-us" w:eastAsia="en-us" w:bidi="en-us"/>
      </w:rPr>
    </w:lvl>
  </w:abstractNum>
  <w:abstractNum w:abstractNumId="6">
    <w:multiLevelType w:val="hybridMultilevel"/>
    <w:lvl w:ilvl="0">
      <w:start w:val="1"/>
      <w:numFmt w:val="upperLetter"/>
      <w:lvlText w:val="%1."/>
      <w:lvlJc w:val="left"/>
      <w:pPr>
        <w:ind w:left="1300" w:hanging="360"/>
        <w:jc w:val="left"/>
      </w:pPr>
      <w:rPr>
        <w:rFonts w:hint="default" w:ascii="Arial" w:hAnsi="Arial" w:eastAsia="Arial" w:cs="Arial"/>
        <w:spacing w:val="-1"/>
        <w:w w:val="100"/>
        <w:sz w:val="22"/>
        <w:szCs w:val="22"/>
        <w:lang w:val="en-us" w:eastAsia="en-us" w:bidi="en-us"/>
      </w:rPr>
    </w:lvl>
    <w:lvl w:ilvl="1">
      <w:start w:val="1"/>
      <w:numFmt w:val="decimal"/>
      <w:lvlText w:val="%2."/>
      <w:lvlJc w:val="left"/>
      <w:pPr>
        <w:ind w:left="2020" w:hanging="360"/>
        <w:jc w:val="left"/>
      </w:pPr>
      <w:rPr>
        <w:rFonts w:hint="default" w:ascii="Arial" w:hAnsi="Arial" w:eastAsia="Arial" w:cs="Arial"/>
        <w:spacing w:val="-1"/>
        <w:w w:val="100"/>
        <w:sz w:val="22"/>
        <w:szCs w:val="22"/>
        <w:lang w:val="en-us" w:eastAsia="en-us" w:bidi="en-us"/>
      </w:rPr>
    </w:lvl>
    <w:lvl w:ilvl="2">
      <w:start w:val="0"/>
      <w:numFmt w:val="bullet"/>
      <w:lvlText w:val="•"/>
      <w:lvlJc w:val="left"/>
      <w:pPr>
        <w:ind w:left="2984" w:hanging="360"/>
      </w:pPr>
      <w:rPr>
        <w:rFonts w:hint="default"/>
        <w:lang w:val="en-us" w:eastAsia="en-us" w:bidi="en-us"/>
      </w:rPr>
    </w:lvl>
    <w:lvl w:ilvl="3">
      <w:start w:val="0"/>
      <w:numFmt w:val="bullet"/>
      <w:lvlText w:val="•"/>
      <w:lvlJc w:val="left"/>
      <w:pPr>
        <w:ind w:left="3948" w:hanging="360"/>
      </w:pPr>
      <w:rPr>
        <w:rFonts w:hint="default"/>
        <w:lang w:val="en-us" w:eastAsia="en-us" w:bidi="en-us"/>
      </w:rPr>
    </w:lvl>
    <w:lvl w:ilvl="4">
      <w:start w:val="0"/>
      <w:numFmt w:val="bullet"/>
      <w:lvlText w:val="•"/>
      <w:lvlJc w:val="left"/>
      <w:pPr>
        <w:ind w:left="4913" w:hanging="360"/>
      </w:pPr>
      <w:rPr>
        <w:rFonts w:hint="default"/>
        <w:lang w:val="en-us" w:eastAsia="en-us" w:bidi="en-us"/>
      </w:rPr>
    </w:lvl>
    <w:lvl w:ilvl="5">
      <w:start w:val="0"/>
      <w:numFmt w:val="bullet"/>
      <w:lvlText w:val="•"/>
      <w:lvlJc w:val="left"/>
      <w:pPr>
        <w:ind w:left="5877" w:hanging="360"/>
      </w:pPr>
      <w:rPr>
        <w:rFonts w:hint="default"/>
        <w:lang w:val="en-us" w:eastAsia="en-us" w:bidi="en-us"/>
      </w:rPr>
    </w:lvl>
    <w:lvl w:ilvl="6">
      <w:start w:val="0"/>
      <w:numFmt w:val="bullet"/>
      <w:lvlText w:val="•"/>
      <w:lvlJc w:val="left"/>
      <w:pPr>
        <w:ind w:left="6842" w:hanging="360"/>
      </w:pPr>
      <w:rPr>
        <w:rFonts w:hint="default"/>
        <w:lang w:val="en-us" w:eastAsia="en-us" w:bidi="en-us"/>
      </w:rPr>
    </w:lvl>
    <w:lvl w:ilvl="7">
      <w:start w:val="0"/>
      <w:numFmt w:val="bullet"/>
      <w:lvlText w:val="•"/>
      <w:lvlJc w:val="left"/>
      <w:pPr>
        <w:ind w:left="7806" w:hanging="360"/>
      </w:pPr>
      <w:rPr>
        <w:rFonts w:hint="default"/>
        <w:lang w:val="en-us" w:eastAsia="en-us" w:bidi="en-us"/>
      </w:rPr>
    </w:lvl>
    <w:lvl w:ilvl="8">
      <w:start w:val="0"/>
      <w:numFmt w:val="bullet"/>
      <w:lvlText w:val="•"/>
      <w:lvlJc w:val="left"/>
      <w:pPr>
        <w:ind w:left="8771" w:hanging="360"/>
      </w:pPr>
      <w:rPr>
        <w:rFonts w:hint="default"/>
        <w:lang w:val="en-us" w:eastAsia="en-us" w:bidi="en-us"/>
      </w:rPr>
    </w:lvl>
  </w:abstractNum>
  <w:abstractNum w:abstractNumId="5">
    <w:multiLevelType w:val="hybridMultilevel"/>
    <w:lvl w:ilvl="0">
      <w:start w:val="3"/>
      <w:numFmt w:val="decimal"/>
      <w:lvlText w:val="%1"/>
      <w:lvlJc w:val="left"/>
      <w:pPr>
        <w:ind w:left="1300" w:hanging="720"/>
        <w:jc w:val="left"/>
      </w:pPr>
      <w:rPr>
        <w:rFonts w:hint="default"/>
        <w:lang w:val="en-us" w:eastAsia="en-us" w:bidi="en-us"/>
      </w:rPr>
    </w:lvl>
    <w:lvl w:ilvl="1">
      <w:start w:val="2"/>
      <w:numFmt w:val="decimal"/>
      <w:lvlText w:val="%1.%2"/>
      <w:lvlJc w:val="left"/>
      <w:pPr>
        <w:ind w:left="1300" w:hanging="720"/>
        <w:jc w:val="left"/>
      </w:pPr>
      <w:rPr>
        <w:rFonts w:hint="default"/>
        <w:lang w:val="en-us" w:eastAsia="en-us" w:bidi="en-us"/>
      </w:rPr>
    </w:lvl>
    <w:lvl w:ilvl="2">
      <w:start w:val="1"/>
      <w:numFmt w:val="decimal"/>
      <w:lvlText w:val="%1.%2.%3"/>
      <w:lvlJc w:val="left"/>
      <w:pPr>
        <w:ind w:left="1300" w:hanging="720"/>
        <w:jc w:val="left"/>
      </w:pPr>
      <w:rPr>
        <w:rFonts w:hint="default" w:ascii="Arial" w:hAnsi="Arial" w:eastAsia="Arial" w:cs="Arial"/>
        <w:b/>
        <w:bCs/>
        <w:w w:val="100"/>
        <w:sz w:val="22"/>
        <w:szCs w:val="22"/>
        <w:lang w:val="en-us" w:eastAsia="en-us" w:bidi="en-us"/>
      </w:rPr>
    </w:lvl>
    <w:lvl w:ilvl="3">
      <w:start w:val="1"/>
      <w:numFmt w:val="decimal"/>
      <w:lvlText w:val="%1.%2.%3.%4"/>
      <w:lvlJc w:val="left"/>
      <w:pPr>
        <w:ind w:left="580" w:hanging="864"/>
        <w:jc w:val="left"/>
      </w:pPr>
      <w:rPr>
        <w:rFonts w:hint="default" w:ascii="Arial" w:hAnsi="Arial" w:eastAsia="Arial" w:cs="Arial"/>
        <w:b/>
        <w:bCs/>
        <w:i/>
        <w:spacing w:val="-3"/>
        <w:w w:val="100"/>
        <w:sz w:val="22"/>
        <w:szCs w:val="22"/>
        <w:lang w:val="en-us" w:eastAsia="en-us" w:bidi="en-us"/>
      </w:rPr>
    </w:lvl>
    <w:lvl w:ilvl="4">
      <w:start w:val="1"/>
      <w:numFmt w:val="upperLetter"/>
      <w:lvlText w:val="%5."/>
      <w:lvlJc w:val="left"/>
      <w:pPr>
        <w:ind w:left="1300" w:hanging="360"/>
        <w:jc w:val="left"/>
      </w:pPr>
      <w:rPr>
        <w:rFonts w:hint="default" w:ascii="Arial" w:hAnsi="Arial" w:eastAsia="Arial" w:cs="Arial"/>
        <w:spacing w:val="-1"/>
        <w:w w:val="100"/>
        <w:sz w:val="22"/>
        <w:szCs w:val="22"/>
        <w:lang w:val="en-us" w:eastAsia="en-us" w:bidi="en-us"/>
      </w:rPr>
    </w:lvl>
    <w:lvl w:ilvl="5">
      <w:start w:val="1"/>
      <w:numFmt w:val="decimal"/>
      <w:lvlText w:val="%6."/>
      <w:lvlJc w:val="left"/>
      <w:pPr>
        <w:ind w:left="2020" w:hanging="360"/>
        <w:jc w:val="left"/>
      </w:pPr>
      <w:rPr>
        <w:rFonts w:hint="default" w:ascii="Arial" w:hAnsi="Arial" w:eastAsia="Arial" w:cs="Arial"/>
        <w:spacing w:val="-1"/>
        <w:w w:val="100"/>
        <w:sz w:val="22"/>
        <w:szCs w:val="22"/>
        <w:lang w:val="en-us" w:eastAsia="en-us" w:bidi="en-us"/>
      </w:rPr>
    </w:lvl>
    <w:lvl w:ilvl="6">
      <w:start w:val="0"/>
      <w:numFmt w:val="bullet"/>
      <w:lvlText w:val="•"/>
      <w:lvlJc w:val="left"/>
      <w:pPr>
        <w:ind w:left="4913" w:hanging="360"/>
      </w:pPr>
      <w:rPr>
        <w:rFonts w:hint="default"/>
        <w:lang w:val="en-us" w:eastAsia="en-us" w:bidi="en-us"/>
      </w:rPr>
    </w:lvl>
    <w:lvl w:ilvl="7">
      <w:start w:val="0"/>
      <w:numFmt w:val="bullet"/>
      <w:lvlText w:val="•"/>
      <w:lvlJc w:val="left"/>
      <w:pPr>
        <w:ind w:left="6360" w:hanging="360"/>
      </w:pPr>
      <w:rPr>
        <w:rFonts w:hint="default"/>
        <w:lang w:val="en-us" w:eastAsia="en-us" w:bidi="en-us"/>
      </w:rPr>
    </w:lvl>
    <w:lvl w:ilvl="8">
      <w:start w:val="0"/>
      <w:numFmt w:val="bullet"/>
      <w:lvlText w:val="•"/>
      <w:lvlJc w:val="left"/>
      <w:pPr>
        <w:ind w:left="7806" w:hanging="360"/>
      </w:pPr>
      <w:rPr>
        <w:rFonts w:hint="default"/>
        <w:lang w:val="en-us" w:eastAsia="en-us" w:bidi="en-us"/>
      </w:rPr>
    </w:lvl>
  </w:abstractNum>
  <w:abstractNum w:abstractNumId="4">
    <w:multiLevelType w:val="hybridMultilevel"/>
    <w:lvl w:ilvl="0">
      <w:start w:val="1"/>
      <w:numFmt w:val="decimal"/>
      <w:lvlText w:val="%1."/>
      <w:lvlJc w:val="left"/>
      <w:pPr>
        <w:ind w:left="1300" w:hanging="360"/>
        <w:jc w:val="left"/>
      </w:pPr>
      <w:rPr>
        <w:rFonts w:hint="default" w:ascii="Arial" w:hAnsi="Arial" w:eastAsia="Arial" w:cs="Arial"/>
        <w:spacing w:val="-1"/>
        <w:w w:val="100"/>
        <w:sz w:val="22"/>
        <w:szCs w:val="22"/>
        <w:lang w:val="en-us" w:eastAsia="en-us" w:bidi="en-us"/>
      </w:rPr>
    </w:lvl>
    <w:lvl w:ilvl="1">
      <w:start w:val="0"/>
      <w:numFmt w:val="bullet"/>
      <w:lvlText w:val="•"/>
      <w:lvlJc w:val="left"/>
      <w:pPr>
        <w:ind w:left="2240" w:hanging="360"/>
      </w:pPr>
      <w:rPr>
        <w:rFonts w:hint="default"/>
        <w:lang w:val="en-us" w:eastAsia="en-us" w:bidi="en-us"/>
      </w:rPr>
    </w:lvl>
    <w:lvl w:ilvl="2">
      <w:start w:val="0"/>
      <w:numFmt w:val="bullet"/>
      <w:lvlText w:val="•"/>
      <w:lvlJc w:val="left"/>
      <w:pPr>
        <w:ind w:left="3180" w:hanging="360"/>
      </w:pPr>
      <w:rPr>
        <w:rFonts w:hint="default"/>
        <w:lang w:val="en-us" w:eastAsia="en-us" w:bidi="en-us"/>
      </w:rPr>
    </w:lvl>
    <w:lvl w:ilvl="3">
      <w:start w:val="0"/>
      <w:numFmt w:val="bullet"/>
      <w:lvlText w:val="•"/>
      <w:lvlJc w:val="left"/>
      <w:pPr>
        <w:ind w:left="4120" w:hanging="360"/>
      </w:pPr>
      <w:rPr>
        <w:rFonts w:hint="default"/>
        <w:lang w:val="en-us" w:eastAsia="en-us" w:bidi="en-us"/>
      </w:rPr>
    </w:lvl>
    <w:lvl w:ilvl="4">
      <w:start w:val="0"/>
      <w:numFmt w:val="bullet"/>
      <w:lvlText w:val="•"/>
      <w:lvlJc w:val="left"/>
      <w:pPr>
        <w:ind w:left="5060"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40" w:hanging="360"/>
      </w:pPr>
      <w:rPr>
        <w:rFonts w:hint="default"/>
        <w:lang w:val="en-us" w:eastAsia="en-us" w:bidi="en-us"/>
      </w:rPr>
    </w:lvl>
    <w:lvl w:ilvl="7">
      <w:start w:val="0"/>
      <w:numFmt w:val="bullet"/>
      <w:lvlText w:val="•"/>
      <w:lvlJc w:val="left"/>
      <w:pPr>
        <w:ind w:left="7880" w:hanging="360"/>
      </w:pPr>
      <w:rPr>
        <w:rFonts w:hint="default"/>
        <w:lang w:val="en-us" w:eastAsia="en-us" w:bidi="en-us"/>
      </w:rPr>
    </w:lvl>
    <w:lvl w:ilvl="8">
      <w:start w:val="0"/>
      <w:numFmt w:val="bullet"/>
      <w:lvlText w:val="•"/>
      <w:lvlJc w:val="left"/>
      <w:pPr>
        <w:ind w:left="8820" w:hanging="360"/>
      </w:pPr>
      <w:rPr>
        <w:rFonts w:hint="default"/>
        <w:lang w:val="en-us" w:eastAsia="en-us" w:bidi="en-us"/>
      </w:rPr>
    </w:lvl>
  </w:abstractNum>
  <w:abstractNum w:abstractNumId="3">
    <w:multiLevelType w:val="hybridMultilevel"/>
    <w:lvl w:ilvl="0">
      <w:start w:val="1"/>
      <w:numFmt w:val="decimal"/>
      <w:lvlText w:val="%1"/>
      <w:lvlJc w:val="left"/>
      <w:pPr>
        <w:ind w:left="1012" w:hanging="432"/>
        <w:jc w:val="left"/>
      </w:pPr>
      <w:rPr>
        <w:rFonts w:hint="default" w:ascii="Arial" w:hAnsi="Arial" w:eastAsia="Arial" w:cs="Arial"/>
        <w:b/>
        <w:bCs/>
        <w:w w:val="100"/>
        <w:sz w:val="28"/>
        <w:szCs w:val="28"/>
        <w:lang w:val="en-us" w:eastAsia="en-us" w:bidi="en-us"/>
      </w:rPr>
    </w:lvl>
    <w:lvl w:ilvl="1">
      <w:start w:val="1"/>
      <w:numFmt w:val="decimal"/>
      <w:lvlText w:val="%1.%2"/>
      <w:lvlJc w:val="left"/>
      <w:pPr>
        <w:ind w:left="1156" w:hanging="576"/>
        <w:jc w:val="left"/>
      </w:pPr>
      <w:rPr>
        <w:rFonts w:hint="default" w:ascii="Arial" w:hAnsi="Arial" w:eastAsia="Arial" w:cs="Arial"/>
        <w:b/>
        <w:bCs/>
        <w:spacing w:val="-1"/>
        <w:w w:val="99"/>
        <w:sz w:val="26"/>
        <w:szCs w:val="26"/>
        <w:lang w:val="en-us" w:eastAsia="en-us" w:bidi="en-us"/>
      </w:rPr>
    </w:lvl>
    <w:lvl w:ilvl="2">
      <w:start w:val="1"/>
      <w:numFmt w:val="decimal"/>
      <w:lvlText w:val="%3."/>
      <w:lvlJc w:val="left"/>
      <w:pPr>
        <w:ind w:left="1300" w:hanging="360"/>
        <w:jc w:val="left"/>
      </w:pPr>
      <w:rPr>
        <w:rFonts w:hint="default" w:ascii="Arial" w:hAnsi="Arial" w:eastAsia="Arial" w:cs="Arial"/>
        <w:spacing w:val="-1"/>
        <w:w w:val="100"/>
        <w:sz w:val="22"/>
        <w:szCs w:val="22"/>
        <w:lang w:val="en-us" w:eastAsia="en-us" w:bidi="en-us"/>
      </w:rPr>
    </w:lvl>
    <w:lvl w:ilvl="3">
      <w:start w:val="0"/>
      <w:numFmt w:val="bullet"/>
      <w:lvlText w:val="•"/>
      <w:lvlJc w:val="left"/>
      <w:pPr>
        <w:ind w:left="2475" w:hanging="360"/>
      </w:pPr>
      <w:rPr>
        <w:rFonts w:hint="default"/>
        <w:lang w:val="en-us" w:eastAsia="en-us" w:bidi="en-us"/>
      </w:rPr>
    </w:lvl>
    <w:lvl w:ilvl="4">
      <w:start w:val="0"/>
      <w:numFmt w:val="bullet"/>
      <w:lvlText w:val="•"/>
      <w:lvlJc w:val="left"/>
      <w:pPr>
        <w:ind w:left="3650" w:hanging="360"/>
      </w:pPr>
      <w:rPr>
        <w:rFonts w:hint="default"/>
        <w:lang w:val="en-us" w:eastAsia="en-us" w:bidi="en-us"/>
      </w:rPr>
    </w:lvl>
    <w:lvl w:ilvl="5">
      <w:start w:val="0"/>
      <w:numFmt w:val="bullet"/>
      <w:lvlText w:val="•"/>
      <w:lvlJc w:val="left"/>
      <w:pPr>
        <w:ind w:left="4825" w:hanging="360"/>
      </w:pPr>
      <w:rPr>
        <w:rFonts w:hint="default"/>
        <w:lang w:val="en-us" w:eastAsia="en-us" w:bidi="en-us"/>
      </w:rPr>
    </w:lvl>
    <w:lvl w:ilvl="6">
      <w:start w:val="0"/>
      <w:numFmt w:val="bullet"/>
      <w:lvlText w:val="•"/>
      <w:lvlJc w:val="left"/>
      <w:pPr>
        <w:ind w:left="6000" w:hanging="360"/>
      </w:pPr>
      <w:rPr>
        <w:rFonts w:hint="default"/>
        <w:lang w:val="en-us" w:eastAsia="en-us" w:bidi="en-us"/>
      </w:rPr>
    </w:lvl>
    <w:lvl w:ilvl="7">
      <w:start w:val="0"/>
      <w:numFmt w:val="bullet"/>
      <w:lvlText w:val="•"/>
      <w:lvlJc w:val="left"/>
      <w:pPr>
        <w:ind w:left="7175" w:hanging="360"/>
      </w:pPr>
      <w:rPr>
        <w:rFonts w:hint="default"/>
        <w:lang w:val="en-us" w:eastAsia="en-us" w:bidi="en-us"/>
      </w:rPr>
    </w:lvl>
    <w:lvl w:ilvl="8">
      <w:start w:val="0"/>
      <w:numFmt w:val="bullet"/>
      <w:lvlText w:val="•"/>
      <w:lvlJc w:val="left"/>
      <w:pPr>
        <w:ind w:left="8350" w:hanging="360"/>
      </w:pPr>
      <w:rPr>
        <w:rFonts w:hint="default"/>
        <w:lang w:val="en-us" w:eastAsia="en-us" w:bidi="en-us"/>
      </w:rPr>
    </w:lvl>
  </w:abstractNum>
  <w:abstractNum w:abstractNumId="2">
    <w:multiLevelType w:val="hybridMultilevel"/>
    <w:lvl w:ilvl="0">
      <w:start w:val="1"/>
      <w:numFmt w:val="decimal"/>
      <w:lvlText w:val="%1"/>
      <w:lvlJc w:val="left"/>
      <w:pPr>
        <w:ind w:left="1012" w:hanging="432"/>
        <w:jc w:val="left"/>
      </w:pPr>
      <w:rPr>
        <w:rFonts w:hint="default" w:ascii="Arial" w:hAnsi="Arial" w:eastAsia="Arial" w:cs="Arial"/>
        <w:b/>
        <w:bCs/>
        <w:w w:val="99"/>
        <w:sz w:val="20"/>
        <w:szCs w:val="20"/>
        <w:lang w:val="en-us" w:eastAsia="en-us" w:bidi="en-us"/>
      </w:rPr>
    </w:lvl>
    <w:lvl w:ilvl="1">
      <w:start w:val="1"/>
      <w:numFmt w:val="decimal"/>
      <w:lvlText w:val="%1.%2"/>
      <w:lvlJc w:val="left"/>
      <w:pPr>
        <w:ind w:left="1300" w:hanging="504"/>
        <w:jc w:val="left"/>
      </w:pPr>
      <w:rPr>
        <w:rFonts w:hint="default" w:ascii="Arial" w:hAnsi="Arial" w:eastAsia="Arial" w:cs="Arial"/>
        <w:spacing w:val="-1"/>
        <w:w w:val="99"/>
        <w:sz w:val="20"/>
        <w:szCs w:val="20"/>
        <w:lang w:val="en-us" w:eastAsia="en-us" w:bidi="en-us"/>
      </w:rPr>
    </w:lvl>
    <w:lvl w:ilvl="2">
      <w:start w:val="1"/>
      <w:numFmt w:val="decimal"/>
      <w:lvlText w:val="%1.%2.%3"/>
      <w:lvlJc w:val="left"/>
      <w:pPr>
        <w:ind w:left="1751" w:hanging="725"/>
        <w:jc w:val="left"/>
      </w:pPr>
      <w:rPr>
        <w:rFonts w:hint="default" w:ascii="Arial" w:hAnsi="Arial" w:eastAsia="Arial" w:cs="Arial"/>
        <w:spacing w:val="-1"/>
        <w:w w:val="99"/>
        <w:sz w:val="20"/>
        <w:szCs w:val="20"/>
        <w:lang w:val="en-us" w:eastAsia="en-us" w:bidi="en-us"/>
      </w:rPr>
    </w:lvl>
    <w:lvl w:ilvl="3">
      <w:start w:val="0"/>
      <w:numFmt w:val="bullet"/>
      <w:lvlText w:val="•"/>
      <w:lvlJc w:val="left"/>
      <w:pPr>
        <w:ind w:left="2877" w:hanging="725"/>
      </w:pPr>
      <w:rPr>
        <w:rFonts w:hint="default"/>
        <w:lang w:val="en-us" w:eastAsia="en-us" w:bidi="en-us"/>
      </w:rPr>
    </w:lvl>
    <w:lvl w:ilvl="4">
      <w:start w:val="0"/>
      <w:numFmt w:val="bullet"/>
      <w:lvlText w:val="•"/>
      <w:lvlJc w:val="left"/>
      <w:pPr>
        <w:ind w:left="3995" w:hanging="725"/>
      </w:pPr>
      <w:rPr>
        <w:rFonts w:hint="default"/>
        <w:lang w:val="en-us" w:eastAsia="en-us" w:bidi="en-us"/>
      </w:rPr>
    </w:lvl>
    <w:lvl w:ilvl="5">
      <w:start w:val="0"/>
      <w:numFmt w:val="bullet"/>
      <w:lvlText w:val="•"/>
      <w:lvlJc w:val="left"/>
      <w:pPr>
        <w:ind w:left="5112" w:hanging="725"/>
      </w:pPr>
      <w:rPr>
        <w:rFonts w:hint="default"/>
        <w:lang w:val="en-us" w:eastAsia="en-us" w:bidi="en-us"/>
      </w:rPr>
    </w:lvl>
    <w:lvl w:ilvl="6">
      <w:start w:val="0"/>
      <w:numFmt w:val="bullet"/>
      <w:lvlText w:val="•"/>
      <w:lvlJc w:val="left"/>
      <w:pPr>
        <w:ind w:left="6230" w:hanging="725"/>
      </w:pPr>
      <w:rPr>
        <w:rFonts w:hint="default"/>
        <w:lang w:val="en-us" w:eastAsia="en-us" w:bidi="en-us"/>
      </w:rPr>
    </w:lvl>
    <w:lvl w:ilvl="7">
      <w:start w:val="0"/>
      <w:numFmt w:val="bullet"/>
      <w:lvlText w:val="•"/>
      <w:lvlJc w:val="left"/>
      <w:pPr>
        <w:ind w:left="7347" w:hanging="725"/>
      </w:pPr>
      <w:rPr>
        <w:rFonts w:hint="default"/>
        <w:lang w:val="en-us" w:eastAsia="en-us" w:bidi="en-us"/>
      </w:rPr>
    </w:lvl>
    <w:lvl w:ilvl="8">
      <w:start w:val="0"/>
      <w:numFmt w:val="bullet"/>
      <w:lvlText w:val="•"/>
      <w:lvlJc w:val="left"/>
      <w:pPr>
        <w:ind w:left="8465" w:hanging="725"/>
      </w:pPr>
      <w:rPr>
        <w:rFonts w:hint="default"/>
        <w:lang w:val="en-us" w:eastAsia="en-us" w:bidi="en-us"/>
      </w:rPr>
    </w:lvl>
  </w:abstractNum>
  <w:abstractNum w:abstractNumId="0">
    <w:multiLevelType w:val="hybridMultilevel"/>
    <w:lvl w:ilvl="0">
      <w:start w:val="1"/>
      <w:numFmt w:val="lowerLetter"/>
      <w:lvlText w:val="%1)"/>
      <w:lvlJc w:val="left"/>
      <w:pPr>
        <w:ind w:left="467" w:hanging="360"/>
        <w:jc w:val="left"/>
      </w:pPr>
      <w:rPr>
        <w:rFonts w:hint="default" w:ascii="Arial" w:hAnsi="Arial" w:eastAsia="Arial" w:cs="Arial"/>
        <w:spacing w:val="-1"/>
        <w:w w:val="100"/>
        <w:sz w:val="22"/>
        <w:szCs w:val="22"/>
        <w:lang w:val="en-us" w:eastAsia="en-us" w:bidi="en-us"/>
      </w:rPr>
    </w:lvl>
    <w:lvl w:ilvl="1">
      <w:start w:val="0"/>
      <w:numFmt w:val="bullet"/>
      <w:lvlText w:val="•"/>
      <w:lvlJc w:val="left"/>
      <w:pPr>
        <w:ind w:left="1253" w:hanging="360"/>
      </w:pPr>
      <w:rPr>
        <w:rFonts w:hint="default"/>
        <w:lang w:val="en-us" w:eastAsia="en-us" w:bidi="en-us"/>
      </w:rPr>
    </w:lvl>
    <w:lvl w:ilvl="2">
      <w:start w:val="0"/>
      <w:numFmt w:val="bullet"/>
      <w:lvlText w:val="•"/>
      <w:lvlJc w:val="left"/>
      <w:pPr>
        <w:ind w:left="2046" w:hanging="360"/>
      </w:pPr>
      <w:rPr>
        <w:rFonts w:hint="default"/>
        <w:lang w:val="en-us" w:eastAsia="en-us" w:bidi="en-us"/>
      </w:rPr>
    </w:lvl>
    <w:lvl w:ilvl="3">
      <w:start w:val="0"/>
      <w:numFmt w:val="bullet"/>
      <w:lvlText w:val="•"/>
      <w:lvlJc w:val="left"/>
      <w:pPr>
        <w:ind w:left="2840" w:hanging="360"/>
      </w:pPr>
      <w:rPr>
        <w:rFonts w:hint="default"/>
        <w:lang w:val="en-us" w:eastAsia="en-us" w:bidi="en-us"/>
      </w:rPr>
    </w:lvl>
    <w:lvl w:ilvl="4">
      <w:start w:val="0"/>
      <w:numFmt w:val="bullet"/>
      <w:lvlText w:val="•"/>
      <w:lvlJc w:val="left"/>
      <w:pPr>
        <w:ind w:left="3633" w:hanging="360"/>
      </w:pPr>
      <w:rPr>
        <w:rFonts w:hint="default"/>
        <w:lang w:val="en-us" w:eastAsia="en-us" w:bidi="en-us"/>
      </w:rPr>
    </w:lvl>
    <w:lvl w:ilvl="5">
      <w:start w:val="0"/>
      <w:numFmt w:val="bullet"/>
      <w:lvlText w:val="•"/>
      <w:lvlJc w:val="left"/>
      <w:pPr>
        <w:ind w:left="4427" w:hanging="360"/>
      </w:pPr>
      <w:rPr>
        <w:rFonts w:hint="default"/>
        <w:lang w:val="en-us" w:eastAsia="en-us" w:bidi="en-us"/>
      </w:rPr>
    </w:lvl>
    <w:lvl w:ilvl="6">
      <w:start w:val="0"/>
      <w:numFmt w:val="bullet"/>
      <w:lvlText w:val="•"/>
      <w:lvlJc w:val="left"/>
      <w:pPr>
        <w:ind w:left="5220" w:hanging="360"/>
      </w:pPr>
      <w:rPr>
        <w:rFonts w:hint="default"/>
        <w:lang w:val="en-us" w:eastAsia="en-us" w:bidi="en-us"/>
      </w:rPr>
    </w:lvl>
    <w:lvl w:ilvl="7">
      <w:start w:val="0"/>
      <w:numFmt w:val="bullet"/>
      <w:lvlText w:val="•"/>
      <w:lvlJc w:val="left"/>
      <w:pPr>
        <w:ind w:left="6013" w:hanging="360"/>
      </w:pPr>
      <w:rPr>
        <w:rFonts w:hint="default"/>
        <w:lang w:val="en-us" w:eastAsia="en-us" w:bidi="en-us"/>
      </w:rPr>
    </w:lvl>
    <w:lvl w:ilvl="8">
      <w:start w:val="0"/>
      <w:numFmt w:val="bullet"/>
      <w:lvlText w:val="•"/>
      <w:lvlJc w:val="left"/>
      <w:pPr>
        <w:ind w:left="6807" w:hanging="360"/>
      </w:pPr>
      <w:rPr>
        <w:rFonts w:hint="default"/>
        <w:lang w:val="en-us" w:eastAsia="en-us" w:bidi="en-us"/>
      </w:rPr>
    </w:lvl>
  </w:abstractNum>
  <w:num w:numId="2">
    <w:abstractNumId w:val="1"/>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TOC1" w:type="paragraph">
    <w:name w:val="TOC 1"/>
    <w:basedOn w:val="Normal"/>
    <w:uiPriority w:val="1"/>
    <w:qFormat/>
    <w:pPr>
      <w:spacing w:before="152"/>
      <w:ind w:left="1012" w:hanging="432"/>
    </w:pPr>
    <w:rPr>
      <w:rFonts w:ascii="Arial" w:hAnsi="Arial" w:eastAsia="Arial" w:cs="Arial"/>
      <w:b/>
      <w:bCs/>
      <w:sz w:val="20"/>
      <w:szCs w:val="20"/>
      <w:lang w:val="en-us" w:eastAsia="en-us" w:bidi="en-us"/>
    </w:rPr>
  </w:style>
  <w:style w:styleId="TOC2" w:type="paragraph">
    <w:name w:val="TOC 2"/>
    <w:basedOn w:val="Normal"/>
    <w:uiPriority w:val="1"/>
    <w:qFormat/>
    <w:pPr>
      <w:spacing w:before="36"/>
      <w:ind w:left="1300" w:hanging="504"/>
    </w:pPr>
    <w:rPr>
      <w:rFonts w:ascii="Arial" w:hAnsi="Arial" w:eastAsia="Arial" w:cs="Arial"/>
      <w:sz w:val="20"/>
      <w:szCs w:val="20"/>
      <w:lang w:val="en-us" w:eastAsia="en-us" w:bidi="en-us"/>
    </w:rPr>
  </w:style>
  <w:style w:styleId="TOC3" w:type="paragraph">
    <w:name w:val="TOC 3"/>
    <w:basedOn w:val="Normal"/>
    <w:uiPriority w:val="1"/>
    <w:qFormat/>
    <w:pPr>
      <w:spacing w:before="34"/>
      <w:ind w:left="1751" w:hanging="725"/>
    </w:pPr>
    <w:rPr>
      <w:rFonts w:ascii="Arial" w:hAnsi="Arial" w:eastAsia="Arial" w:cs="Arial"/>
      <w:sz w:val="20"/>
      <w:szCs w:val="20"/>
      <w:lang w:val="en-us" w:eastAsia="en-us" w:bidi="en-us"/>
    </w:rPr>
  </w:style>
  <w:style w:styleId="BodyText" w:type="paragraph">
    <w:name w:val="Body Text"/>
    <w:basedOn w:val="Normal"/>
    <w:uiPriority w:val="1"/>
    <w:qFormat/>
    <w:pPr/>
    <w:rPr>
      <w:rFonts w:ascii="Arial" w:hAnsi="Arial" w:eastAsia="Arial" w:cs="Arial"/>
      <w:sz w:val="22"/>
      <w:szCs w:val="22"/>
      <w:lang w:val="en-us" w:eastAsia="en-us" w:bidi="en-us"/>
    </w:rPr>
  </w:style>
  <w:style w:styleId="Heading1" w:type="paragraph">
    <w:name w:val="Heading 1"/>
    <w:basedOn w:val="Normal"/>
    <w:uiPriority w:val="1"/>
    <w:qFormat/>
    <w:pPr>
      <w:spacing w:before="8"/>
      <w:ind w:left="28"/>
      <w:outlineLvl w:val="1"/>
    </w:pPr>
    <w:rPr>
      <w:rFonts w:ascii="Arial" w:hAnsi="Arial" w:eastAsia="Arial" w:cs="Arial"/>
      <w:b/>
      <w:bCs/>
      <w:sz w:val="28"/>
      <w:szCs w:val="28"/>
      <w:lang w:val="en-us" w:eastAsia="en-us" w:bidi="en-us"/>
    </w:rPr>
  </w:style>
  <w:style w:styleId="Heading2" w:type="paragraph">
    <w:name w:val="Heading 2"/>
    <w:basedOn w:val="Normal"/>
    <w:uiPriority w:val="1"/>
    <w:qFormat/>
    <w:pPr>
      <w:ind w:left="1156" w:hanging="576"/>
      <w:outlineLvl w:val="2"/>
    </w:pPr>
    <w:rPr>
      <w:rFonts w:ascii="Arial" w:hAnsi="Arial" w:eastAsia="Arial" w:cs="Arial"/>
      <w:b/>
      <w:bCs/>
      <w:sz w:val="26"/>
      <w:szCs w:val="26"/>
      <w:lang w:val="en-us" w:eastAsia="en-us" w:bidi="en-us"/>
    </w:rPr>
  </w:style>
  <w:style w:styleId="Heading3" w:type="paragraph">
    <w:name w:val="Heading 3"/>
    <w:basedOn w:val="Normal"/>
    <w:uiPriority w:val="1"/>
    <w:qFormat/>
    <w:pPr>
      <w:ind w:left="1300"/>
      <w:outlineLvl w:val="3"/>
    </w:pPr>
    <w:rPr>
      <w:rFonts w:ascii="Arial" w:hAnsi="Arial" w:eastAsia="Arial" w:cs="Arial"/>
      <w:b/>
      <w:bCs/>
      <w:sz w:val="22"/>
      <w:szCs w:val="22"/>
      <w:lang w:val="en-us" w:eastAsia="en-us" w:bidi="en-us"/>
    </w:rPr>
  </w:style>
  <w:style w:styleId="Heading4" w:type="paragraph">
    <w:name w:val="Heading 4"/>
    <w:basedOn w:val="Normal"/>
    <w:uiPriority w:val="1"/>
    <w:qFormat/>
    <w:pPr>
      <w:ind w:left="1444" w:hanging="864"/>
      <w:outlineLvl w:val="4"/>
    </w:pPr>
    <w:rPr>
      <w:rFonts w:ascii="Arial" w:hAnsi="Arial" w:eastAsia="Arial" w:cs="Arial"/>
      <w:b/>
      <w:bCs/>
      <w:i/>
      <w:sz w:val="22"/>
      <w:szCs w:val="22"/>
      <w:lang w:val="en-us" w:eastAsia="en-us" w:bidi="en-us"/>
    </w:rPr>
  </w:style>
  <w:style w:styleId="ListParagraph" w:type="paragraph">
    <w:name w:val="List Paragraph"/>
    <w:basedOn w:val="Normal"/>
    <w:uiPriority w:val="1"/>
    <w:qFormat/>
    <w:pPr>
      <w:ind w:left="1300" w:hanging="360"/>
    </w:pPr>
    <w:rPr>
      <w:rFonts w:ascii="Arial" w:hAnsi="Arial" w:eastAsia="Arial" w:cs="Arial"/>
      <w:lang w:val="en-us" w:eastAsia="en-us" w:bidi="en-us"/>
    </w:rPr>
  </w:style>
  <w:style w:styleId="TableParagraph" w:type="paragraph">
    <w:name w:val="Table Paragraph"/>
    <w:basedOn w:val="Normal"/>
    <w:uiPriority w:val="1"/>
    <w:qFormat/>
    <w:pPr>
      <w:spacing w:before="38"/>
      <w:ind w:left="107"/>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eader" Target="header1.xml"/><Relationship Id="rId10" Type="http://schemas.openxmlformats.org/officeDocument/2006/relationships/hyperlink" Target="http://cglink.uscg.mil/AMI" TargetMode="External"/><Relationship Id="rId11" Type="http://schemas.openxmlformats.org/officeDocument/2006/relationships/image" Target="media/image5.png"/><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jpeg"/><Relationship Id="rId38" Type="http://schemas.openxmlformats.org/officeDocument/2006/relationships/hyperlink" Target="http://www.obvius.com/" TargetMode="External"/><Relationship Id="rId39" Type="http://schemas.openxmlformats.org/officeDocument/2006/relationships/hyperlink" Target="http://www.obvius.com/sites/obvius.com/files/A8812_Manual.pdf" TargetMode="External"/><Relationship Id="rId40" Type="http://schemas.openxmlformats.org/officeDocument/2006/relationships/footer" Target="footer3.xml"/><Relationship Id="rId41" Type="http://schemas.openxmlformats.org/officeDocument/2006/relationships/footer" Target="footer4.xml"/><Relationship Id="rId42" Type="http://schemas.openxmlformats.org/officeDocument/2006/relationships/footer" Target="footer5.xml"/><Relationship Id="rId43" Type="http://schemas.openxmlformats.org/officeDocument/2006/relationships/footer" Target="footer6.xml"/><Relationship Id="rId44" Type="http://schemas.openxmlformats.org/officeDocument/2006/relationships/header" Target="header3.xml"/><Relationship Id="rId45" Type="http://schemas.openxmlformats.org/officeDocument/2006/relationships/header" Target="header4.xml"/><Relationship Id="rId46" Type="http://schemas.openxmlformats.org/officeDocument/2006/relationships/footer" Target="footer7.xml"/><Relationship Id="rId47" Type="http://schemas.openxmlformats.org/officeDocument/2006/relationships/image" Target="media/image29.jpeg"/><Relationship Id="rId48" Type="http://schemas.openxmlformats.org/officeDocument/2006/relationships/image" Target="media/image30.jpeg"/><Relationship Id="rId49" Type="http://schemas.openxmlformats.org/officeDocument/2006/relationships/image" Target="media/image31.png"/><Relationship Id="rId50" Type="http://schemas.openxmlformats.org/officeDocument/2006/relationships/image" Target="media/image32.jpeg"/><Relationship Id="rId51" Type="http://schemas.openxmlformats.org/officeDocument/2006/relationships/footer" Target="footer8.xml"/><Relationship Id="rId5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2020-05-29T15:03:31Z</dcterms:created>
  <dcterms:modified xsi:type="dcterms:W3CDTF">2020-05-29T15:03:31Z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2018-07-03T00:00:00Z</vt:filetime>
  </property>
  <property fmtid="{D5CDD505-2E9C-101B-9397-08002B2CF9AE}" pid="3" name="LastSaved">
    <vt:filetime>2020-05-29T00:00:00Z</vt:filetime>
  </property>
</Properties>
</file>